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63B71" w14:textId="77777777" w:rsidR="001427BD" w:rsidRPr="002A7DE8" w:rsidRDefault="001427BD">
      <w:pPr>
        <w:spacing w:before="800"/>
        <w:rPr>
          <w:rFonts w:ascii="Times New Roman" w:hAnsi="Times New Roman" w:cs="Times New Roman"/>
          <w:sz w:val="40"/>
          <w:szCs w:val="40"/>
        </w:rPr>
      </w:pPr>
    </w:p>
    <w:p w14:paraId="0E8315CD" w14:textId="77777777" w:rsidR="001427BD" w:rsidRPr="002A7DE8" w:rsidRDefault="00000000">
      <w:pPr>
        <w:jc w:val="center"/>
        <w:rPr>
          <w:rFonts w:ascii="Times New Roman" w:hAnsi="Times New Roman" w:cs="Times New Roman"/>
          <w:sz w:val="40"/>
          <w:szCs w:val="40"/>
        </w:rPr>
      </w:pPr>
      <w:r w:rsidRPr="002A7DE8">
        <w:rPr>
          <w:rFonts w:ascii="Times New Roman" w:hAnsi="Times New Roman" w:cs="Times New Roman"/>
          <w:b/>
          <w:bCs/>
          <w:color w:val="1F4E79"/>
          <w:sz w:val="40"/>
          <w:szCs w:val="40"/>
        </w:rPr>
        <w:t>Japanese Encephalitis (JE)</w:t>
      </w:r>
    </w:p>
    <w:p w14:paraId="55E81258" w14:textId="77777777" w:rsidR="001427BD" w:rsidRPr="002A7DE8" w:rsidRDefault="00000000">
      <w:pPr>
        <w:spacing w:after="300"/>
        <w:jc w:val="center"/>
        <w:rPr>
          <w:rFonts w:ascii="Times New Roman" w:hAnsi="Times New Roman" w:cs="Times New Roman"/>
          <w:sz w:val="40"/>
          <w:szCs w:val="40"/>
        </w:rPr>
      </w:pPr>
      <w:r w:rsidRPr="002A7DE8">
        <w:rPr>
          <w:rFonts w:ascii="Times New Roman" w:hAnsi="Times New Roman" w:cs="Times New Roman"/>
          <w:b/>
          <w:bCs/>
          <w:color w:val="1F4E79"/>
          <w:sz w:val="40"/>
          <w:szCs w:val="40"/>
        </w:rPr>
        <w:t>Simulation Parameter Entry — Technical Support Manual</w:t>
      </w:r>
    </w:p>
    <w:p w14:paraId="2B9F373C" w14:textId="64457835" w:rsidR="001427BD" w:rsidRPr="003B76C8" w:rsidRDefault="00000000" w:rsidP="003B76C8">
      <w:pPr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Quick Navigation (Platform Steps)</w:t>
      </w:r>
    </w:p>
    <w:p w14:paraId="1616C71A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Go to https://nivedi.res.in/</w:t>
      </w:r>
    </w:p>
    <w:p w14:paraId="02E0DCCF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Click NADRES v2, or open https://nivedi.res.in/Nadres_v2/</w:t>
      </w:r>
    </w:p>
    <w:p w14:paraId="078392B2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Click Disease Simulation, or open https://nivedi.res.in/simulation/</w:t>
      </w:r>
    </w:p>
    <w:p w14:paraId="5D9F718F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Click Start Exploring</w:t>
      </w:r>
    </w:p>
    <w:p w14:paraId="48D462F1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Select the disease — choose JE (Japanese Encephalitis)</w:t>
      </w:r>
    </w:p>
    <w:p w14:paraId="16E4869A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Click Open Dashboard</w:t>
      </w:r>
    </w:p>
    <w:p w14:paraId="580C8D9F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Review the guide panel at the top (▼ toggle) — summary of the model and assumptions</w:t>
      </w:r>
    </w:p>
    <w:p w14:paraId="74A1F822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Scroll to the parameter panel on the left and start entering values</w:t>
      </w:r>
    </w:p>
    <w:p w14:paraId="04B9155C" w14:textId="77777777" w:rsidR="001427BD" w:rsidRPr="003B76C8" w:rsidRDefault="00000000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Before You Start</w:t>
      </w:r>
    </w:p>
    <w:p w14:paraId="4B751834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Keep the latest catchment/district-level counts ready: human population and JE case line-list (asymptomatic/symptomatic, recovered, vaccinated dose I/II); pig, wading-bird and mosquito population estimates.</w:t>
      </w:r>
    </w:p>
    <w:p w14:paraId="662E5C0E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Every input field has a Help button next to it — tap it to see the exact same title/what/how/range guidance reproduced in this manual.</w:t>
      </w:r>
    </w:p>
    <w:p w14:paraId="1B8E64C6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Use whole numbers for population counts, decimals (0–1) for rates, fractions and coverage, and °C for temperature.</w:t>
      </w:r>
    </w:p>
    <w:p w14:paraId="40BCB1AF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Fields marked “Auto” or “Computed” (e.g., Sₕ, Sₚ) should not be typed — they update automatically from the other compartments.</w:t>
      </w:r>
    </w:p>
    <w:p w14:paraId="21F9516E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The Contact Module (Section 11) is optional — leave “Use contact modifier” unchecked to run the base model with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contactScale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= 1.</w:t>
      </w:r>
    </w:p>
    <w:p w14:paraId="74B5AE0B" w14:textId="77777777" w:rsidR="001427BD" w:rsidRPr="003B76C8" w:rsidRDefault="00000000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Recommended Data-Entry Order</w:t>
      </w:r>
    </w:p>
    <w:p w14:paraId="78E2C7F7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Simulation horizon: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simDays</w:t>
      </w:r>
      <w:proofErr w:type="spellEnd"/>
    </w:p>
    <w:p w14:paraId="2F1E4532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Human compartments: Nₕ → I_Aₕ (asymptomatic) → Iₕ (symptomatic) → Rₕ → V₁ₕ → V₂ₕ (Sₕ auto-computes)</w:t>
      </w:r>
    </w:p>
    <w:p w14:paraId="37514962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Pig compartments: Nₚ → Iₚ → Bₚ (Sₚ auto-computes)</w:t>
      </w:r>
    </w:p>
    <w:p w14:paraId="4479139C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Wading bird compartments: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N_w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I_w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B_w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S_w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auto-computes)</w:t>
      </w:r>
    </w:p>
    <w:p w14:paraId="73F22DCC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Mosquito compartments: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N_m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→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I_m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S_m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auto-computes)</w:t>
      </w:r>
    </w:p>
    <w:p w14:paraId="2CD3DB0E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Demography &amp; natural rates (Section 6)</w:t>
      </w:r>
    </w:p>
    <w:p w14:paraId="568769F2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lastRenderedPageBreak/>
        <w:t>Transmission probabilities &amp; biting (Section 7)</w:t>
      </w:r>
    </w:p>
    <w:p w14:paraId="23F85C28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Human progression &amp; vaccination (Section 8)</w:t>
      </w:r>
    </w:p>
    <w:p w14:paraId="09F42BF3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Pig/bird control measures (Section 9)</w:t>
      </w:r>
    </w:p>
    <w:p w14:paraId="7746AC57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Environment: temperature T, T₀, b₀ (Section 10)</w:t>
      </w:r>
    </w:p>
    <w:p w14:paraId="6D4E861B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Contact module, only if district/village mixing needs to be modelled explicitly (Sections 11–12)</w:t>
      </w:r>
    </w:p>
    <w:p w14:paraId="5A65BC53" w14:textId="186CAD25" w:rsidR="003B76C8" w:rsidRPr="003B76C8" w:rsidRDefault="003B76C8" w:rsidP="003B76C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76C8">
        <w:rPr>
          <w:rFonts w:ascii="Times New Roman" w:hAnsi="Times New Roman" w:cs="Times New Roman"/>
          <w:b/>
          <w:bCs/>
          <w:sz w:val="24"/>
          <w:szCs w:val="24"/>
        </w:rPr>
        <w:t>Step-by-Step Operating Guides</w:t>
      </w:r>
    </w:p>
    <w:p w14:paraId="0BF6AD4C" w14:textId="77777777" w:rsidR="003B76C8" w:rsidRPr="003B76C8" w:rsidRDefault="003B76C8" w:rsidP="003B76C8">
      <w:pPr>
        <w:spacing w:after="10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555555"/>
          <w:sz w:val="24"/>
          <w:szCs w:val="24"/>
        </w:rPr>
        <w:t>These walk-throughs cover the Contact Module (Village mode and District mode, run separately) and the Year-wise Validation panel (choosing a district from the built-in list, running on the default dataset, or uploading your own CSV).</w:t>
      </w:r>
    </w:p>
    <w:p w14:paraId="1162FABA" w14:textId="77777777" w:rsidR="003B76C8" w:rsidRPr="003B76C8" w:rsidRDefault="003B76C8" w:rsidP="003B76C8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A. Village Mode — Step-by-Step</w:t>
      </w:r>
    </w:p>
    <w:p w14:paraId="1D397B4D" w14:textId="77777777" w:rsidR="003B76C8" w:rsidRPr="003B76C8" w:rsidRDefault="003B76C8" w:rsidP="003B76C8">
      <w:pPr>
        <w:spacing w:after="100"/>
        <w:ind w:left="72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555555"/>
          <w:sz w:val="24"/>
          <w:szCs w:val="24"/>
        </w:rPr>
        <w:t>Use this when you have local, close-contact survey data for a single village and do not need district-level spillover from neighbours.</w:t>
      </w:r>
    </w:p>
    <w:p w14:paraId="413C089F" w14:textId="77777777" w:rsidR="003B76C8" w:rsidRPr="003B76C8" w:rsidRDefault="003B76C8" w:rsidP="003B76C8">
      <w:pPr>
        <w:pStyle w:val="ListParagraph"/>
        <w:numPr>
          <w:ilvl w:val="0"/>
          <w:numId w:val="2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In the parameter panel, open the “JE Contact Rate – Village vs District” card.</w:t>
      </w:r>
    </w:p>
    <w:p w14:paraId="372398D3" w14:textId="77777777" w:rsidR="003B76C8" w:rsidRPr="003B76C8" w:rsidRDefault="003B76C8" w:rsidP="003B76C8">
      <w:pPr>
        <w:pStyle w:val="ListParagraph"/>
        <w:numPr>
          <w:ilvl w:val="0"/>
          <w:numId w:val="2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Tick the “Use contact modifier” checkbox 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je_useContactMod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) to switch the module ON. Leaving it unticked runs the base model with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contactScale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= 1 and skips both Village and District inputs.</w:t>
      </w:r>
    </w:p>
    <w:p w14:paraId="6BAAA10E" w14:textId="77777777" w:rsidR="003B76C8" w:rsidRPr="003B76C8" w:rsidRDefault="003B76C8" w:rsidP="003B76C8">
      <w:pPr>
        <w:pStyle w:val="ListParagraph"/>
        <w:numPr>
          <w:ilvl w:val="0"/>
          <w:numId w:val="2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From the “Level” dropdown 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jeContactType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), select Village — this is the default selection and reveals the Village Level Contact block; the </w:t>
      </w:r>
      <w:proofErr w:type="gramStart"/>
      <w:r w:rsidRPr="003B76C8">
        <w:rPr>
          <w:rFonts w:ascii="Times New Roman" w:hAnsi="Times New Roman" w:cs="Times New Roman"/>
          <w:sz w:val="24"/>
          <w:szCs w:val="24"/>
        </w:rPr>
        <w:t>District</w:t>
      </w:r>
      <w:proofErr w:type="gramEnd"/>
      <w:r w:rsidRPr="003B76C8">
        <w:rPr>
          <w:rFonts w:ascii="Times New Roman" w:hAnsi="Times New Roman" w:cs="Times New Roman"/>
          <w:sz w:val="24"/>
          <w:szCs w:val="24"/>
        </w:rPr>
        <w:t xml:space="preserve"> block stays hidden.</w:t>
      </w:r>
    </w:p>
    <w:p w14:paraId="0BF17E17" w14:textId="77777777" w:rsidR="003B76C8" w:rsidRPr="003B76C8" w:rsidRDefault="003B76C8" w:rsidP="003B76C8">
      <w:pPr>
        <w:pStyle w:val="ListParagraph"/>
        <w:numPr>
          <w:ilvl w:val="0"/>
          <w:numId w:val="2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Enter Nc — the number of humans/animals in close JE-relevant contact 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je_vil_Nc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), e.g. 40.</w:t>
      </w:r>
    </w:p>
    <w:p w14:paraId="4A7EF054" w14:textId="77777777" w:rsidR="003B76C8" w:rsidRPr="003B76C8" w:rsidRDefault="003B76C8" w:rsidP="003B76C8">
      <w:pPr>
        <w:pStyle w:val="ListParagraph"/>
        <w:numPr>
          <w:ilvl w:val="0"/>
          <w:numId w:val="2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Enter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Ntot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— the total humans/animals at risk in the village 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je_vil_Ntot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), e.g. 200.</w:t>
      </w:r>
    </w:p>
    <w:p w14:paraId="02D6944C" w14:textId="77777777" w:rsidR="003B76C8" w:rsidRPr="003B76C8" w:rsidRDefault="003B76C8" w:rsidP="003B76C8">
      <w:pPr>
        <w:pStyle w:val="ListParagraph"/>
        <w:numPr>
          <w:ilvl w:val="0"/>
          <w:numId w:val="2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The Village contact rate 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je_contactRateVillage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= Nc ÷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Ntot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) is read-only and auto-computes, e.g. 0.200.</w:t>
      </w:r>
    </w:p>
    <w:p w14:paraId="7D03C98C" w14:textId="77777777" w:rsidR="003B76C8" w:rsidRPr="003B76C8" w:rsidRDefault="003B76C8" w:rsidP="003B76C8">
      <w:pPr>
        <w:pStyle w:val="ListParagraph"/>
        <w:numPr>
          <w:ilvl w:val="0"/>
          <w:numId w:val="2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This contact rate becomes the active contact scale that multiplies both the vector–reservoir and human transmission cycles feeding into R₀ — no further action is needed.</w:t>
      </w:r>
    </w:p>
    <w:p w14:paraId="15580AEE" w14:textId="77777777" w:rsidR="003B76C8" w:rsidRPr="003B76C8" w:rsidRDefault="003B76C8" w:rsidP="003B76C8">
      <w:pPr>
        <w:pStyle w:val="ListParagraph"/>
        <w:numPr>
          <w:ilvl w:val="0"/>
          <w:numId w:val="2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Continue filling the remaining compartments and rates (Sections 2–10 of this manual) as usual, then read the results from the main chart and R₀/HIT panel.</w:t>
      </w:r>
    </w:p>
    <w:p w14:paraId="6DA81BCF" w14:textId="77777777" w:rsidR="003B76C8" w:rsidRPr="003B76C8" w:rsidRDefault="003B76C8" w:rsidP="003B76C8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B. District Mode — Step-by-Step</w:t>
      </w:r>
    </w:p>
    <w:p w14:paraId="653FBBC0" w14:textId="77777777" w:rsidR="003B76C8" w:rsidRPr="003B76C8" w:rsidRDefault="003B76C8" w:rsidP="003B76C8">
      <w:pPr>
        <w:spacing w:after="100"/>
        <w:ind w:left="72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555555"/>
          <w:sz w:val="24"/>
          <w:szCs w:val="24"/>
        </w:rPr>
        <w:t>Use this when host density, mobility, and spillover pressure from one or more neighbouring districts/interfaces need to be modelled explicitly.</w:t>
      </w:r>
    </w:p>
    <w:p w14:paraId="59128FC9" w14:textId="77777777" w:rsidR="003B76C8" w:rsidRPr="003B76C8" w:rsidRDefault="003B76C8" w:rsidP="003B76C8">
      <w:pPr>
        <w:pStyle w:val="ListParagraph"/>
        <w:numPr>
          <w:ilvl w:val="0"/>
          <w:numId w:val="3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Tick “Use contact modifier” 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je_useContactMod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) to switch the module ON.</w:t>
      </w:r>
    </w:p>
    <w:p w14:paraId="38230675" w14:textId="77777777" w:rsidR="003B76C8" w:rsidRPr="003B76C8" w:rsidRDefault="003B76C8" w:rsidP="003B76C8">
      <w:pPr>
        <w:pStyle w:val="ListParagraph"/>
        <w:numPr>
          <w:ilvl w:val="0"/>
          <w:numId w:val="3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From the “Level” dropdown 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jeContactType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), select District — the Village block hides and the District Level Contact block </w:t>
      </w:r>
      <w:proofErr w:type="gramStart"/>
      <w:r w:rsidRPr="003B76C8">
        <w:rPr>
          <w:rFonts w:ascii="Times New Roman" w:hAnsi="Times New Roman" w:cs="Times New Roman"/>
          <w:sz w:val="24"/>
          <w:szCs w:val="24"/>
        </w:rPr>
        <w:t>appears</w:t>
      </w:r>
      <w:proofErr w:type="gramEnd"/>
      <w:r w:rsidRPr="003B76C8">
        <w:rPr>
          <w:rFonts w:ascii="Times New Roman" w:hAnsi="Times New Roman" w:cs="Times New Roman"/>
          <w:sz w:val="24"/>
          <w:szCs w:val="24"/>
        </w:rPr>
        <w:t>.</w:t>
      </w:r>
    </w:p>
    <w:p w14:paraId="32BB9AAF" w14:textId="77777777" w:rsidR="003B76C8" w:rsidRPr="003B76C8" w:rsidRDefault="003B76C8" w:rsidP="003B76C8">
      <w:pPr>
        <w:pStyle w:val="ListParagraph"/>
        <w:numPr>
          <w:ilvl w:val="0"/>
          <w:numId w:val="3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Enter this district's host density 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je_density_current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, animals/km²) and the reference/average density for comparison 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je_density_ref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, animals/km²).</w:t>
      </w:r>
    </w:p>
    <w:p w14:paraId="6229FFCB" w14:textId="77777777" w:rsidR="003B76C8" w:rsidRPr="003B76C8" w:rsidRDefault="003B76C8" w:rsidP="003B76C8">
      <w:pPr>
        <w:pStyle w:val="ListParagraph"/>
        <w:numPr>
          <w:ilvl w:val="0"/>
          <w:numId w:val="3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Enter the mobility/exposure Modifier M 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je_alpha_modifier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, 0–1).</w:t>
      </w:r>
    </w:p>
    <w:p w14:paraId="0046EEE2" w14:textId="77777777" w:rsidR="003B76C8" w:rsidRPr="003B76C8" w:rsidRDefault="003B76C8" w:rsidP="003B76C8">
      <w:pPr>
        <w:pStyle w:val="ListParagraph"/>
        <w:numPr>
          <w:ilvl w:val="0"/>
          <w:numId w:val="3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The density scaling factor auto-computes: αJE = (Density ÷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RefDensity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) × M.</w:t>
      </w:r>
    </w:p>
    <w:p w14:paraId="3C47094D" w14:textId="77777777" w:rsidR="003B76C8" w:rsidRPr="003B76C8" w:rsidRDefault="003B76C8" w:rsidP="003B76C8">
      <w:pPr>
        <w:pStyle w:val="ListParagraph"/>
        <w:numPr>
          <w:ilvl w:val="0"/>
          <w:numId w:val="3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lastRenderedPageBreak/>
        <w:t xml:space="preserve">Click + Add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Neighbor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for every bordering district, wetland, or trade/ecological interface that can contribute spillover. For each neighbour row enter: name, vaccination coverage, monitoring level, biosecurity score (all 0–1), plus Iₚ/Nₚ (infected/total pigs),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I_w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N_w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(infected/total wading birds) and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I_m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N_m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(infected/total mosquitoes).</w:t>
      </w:r>
    </w:p>
    <w:p w14:paraId="0C3CA778" w14:textId="77777777" w:rsidR="003B76C8" w:rsidRPr="003B76C8" w:rsidRDefault="003B76C8" w:rsidP="003B76C8">
      <w:pPr>
        <w:pStyle w:val="ListParagraph"/>
        <w:numPr>
          <w:ilvl w:val="0"/>
          <w:numId w:val="3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Each neighbour's interface weight wᵢⱼ = (1−VaccCov) + (1−Monitoring) + (1−Biosec) + THI, and its contribution to each species pressure, auto-compute and display next to the row.</w:t>
      </w:r>
    </w:p>
    <w:p w14:paraId="0DF155F4" w14:textId="77777777" w:rsidR="003B76C8" w:rsidRPr="003B76C8" w:rsidRDefault="003B76C8" w:rsidP="003B76C8">
      <w:pPr>
        <w:pStyle w:val="ListParagraph"/>
        <w:numPr>
          <w:ilvl w:val="0"/>
          <w:numId w:val="3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The district contact-pressure summary cards CRᵖ (pig),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CRʷ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(wading bird) and CRᵐ (mosquito) auto-update from αJE and the neighbour contributions.</w:t>
      </w:r>
    </w:p>
    <w:p w14:paraId="7E7B1D52" w14:textId="77777777" w:rsidR="003B76C8" w:rsidRPr="003B76C8" w:rsidRDefault="003B76C8" w:rsidP="003B76C8">
      <w:pPr>
        <w:pStyle w:val="ListParagraph"/>
        <w:numPr>
          <w:ilvl w:val="0"/>
          <w:numId w:val="3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The human JE hazard λₕ(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) = βₘₕ × b(T) × CRᵐ(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) auto-computes and becomes the active contact index used in R₀ and transmission (in place of the village contact rate).</w:t>
      </w:r>
    </w:p>
    <w:p w14:paraId="5420CF05" w14:textId="77777777" w:rsidR="003B76C8" w:rsidRPr="003B76C8" w:rsidRDefault="003B76C8" w:rsidP="003B76C8">
      <w:pPr>
        <w:pStyle w:val="ListParagraph"/>
        <w:numPr>
          <w:ilvl w:val="0"/>
          <w:numId w:val="3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Village-only fields (Nc,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Ntot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) are hidden and ignored while District mode is selected.</w:t>
      </w:r>
    </w:p>
    <w:p w14:paraId="3AD2F6E9" w14:textId="1C42F296" w:rsidR="001427BD" w:rsidRPr="003B76C8" w:rsidRDefault="00000000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Parameter-by-Parameter Guidelines</w:t>
      </w:r>
    </w:p>
    <w:p w14:paraId="4A571B4A" w14:textId="77777777" w:rsidR="001427BD" w:rsidRPr="003B76C8" w:rsidRDefault="00000000">
      <w:pPr>
        <w:spacing w:after="10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555555"/>
          <w:sz w:val="24"/>
          <w:szCs w:val="24"/>
        </w:rPr>
        <w:t>Every row below mirrors the title / what / how / range shown in the on-screen Help panel for that field. “Default” is the value pre-loaded in the Udupi District demonstration dataset — replace it with your own district's data.</w:t>
      </w:r>
    </w:p>
    <w:p w14:paraId="0ABECD23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1. Simulation Control</w:t>
      </w:r>
    </w:p>
    <w:p w14:paraId="54D076BB" w14:textId="77777777" w:rsidR="001427BD" w:rsidRPr="003B76C8" w:rsidRDefault="00000000">
      <w:pPr>
        <w:spacing w:after="15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444444"/>
          <w:sz w:val="24"/>
          <w:szCs w:val="24"/>
        </w:rPr>
        <w:t>Set the simulation horizon before entering compartment values.</w:t>
      </w:r>
    </w:p>
    <w:tbl>
      <w:tblPr>
        <w:tblStyle w:val="GridTable4-Accent2"/>
        <w:tblW w:w="9360" w:type="dxa"/>
        <w:tblLook w:val="0620" w:firstRow="1" w:lastRow="0" w:firstColumn="0" w:lastColumn="0" w:noHBand="1" w:noVBand="1"/>
      </w:tblPr>
      <w:tblGrid>
        <w:gridCol w:w="494"/>
        <w:gridCol w:w="2553"/>
        <w:gridCol w:w="4145"/>
        <w:gridCol w:w="1192"/>
        <w:gridCol w:w="976"/>
      </w:tblGrid>
      <w:tr w:rsidR="001427BD" w:rsidRPr="003B76C8" w14:paraId="1238C7B1" w14:textId="77777777" w:rsidTr="003B76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" w:type="dxa"/>
          </w:tcPr>
          <w:p w14:paraId="5C67B48E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600" w:type="dxa"/>
          </w:tcPr>
          <w:p w14:paraId="1186968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4260" w:type="dxa"/>
          </w:tcPr>
          <w:p w14:paraId="7348DAC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What to Enter / How to Get It</w:t>
            </w:r>
          </w:p>
        </w:tc>
        <w:tc>
          <w:tcPr>
            <w:tcW w:w="1200" w:type="dxa"/>
          </w:tcPr>
          <w:p w14:paraId="4CFE1787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Range / Format</w:t>
            </w:r>
          </w:p>
        </w:tc>
        <w:tc>
          <w:tcPr>
            <w:tcW w:w="800" w:type="dxa"/>
          </w:tcPr>
          <w:p w14:paraId="4AD96D0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</w:tr>
      <w:tr w:rsidR="001427BD" w:rsidRPr="003B76C8" w14:paraId="043FD7C3" w14:textId="77777777" w:rsidTr="003B76C8">
        <w:tc>
          <w:tcPr>
            <w:tcW w:w="500" w:type="dxa"/>
          </w:tcPr>
          <w:p w14:paraId="2751877A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14:paraId="7DC7134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simDays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Simulation horizon (days)</w:t>
            </w:r>
          </w:p>
        </w:tc>
        <w:tc>
          <w:tcPr>
            <w:tcW w:w="4260" w:type="dxa"/>
          </w:tcPr>
          <w:p w14:paraId="593C9C2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Total number of days for which JE dynamics will be simulated. Choose longer horizons (≥ 180) to see seasonal patterns; shorter for outbreak windows.</w:t>
            </w:r>
          </w:p>
        </w:tc>
        <w:tc>
          <w:tcPr>
            <w:tcW w:w="1200" w:type="dxa"/>
          </w:tcPr>
          <w:p w14:paraId="054092D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30 – 365 days.</w:t>
            </w:r>
          </w:p>
        </w:tc>
        <w:tc>
          <w:tcPr>
            <w:tcW w:w="800" w:type="dxa"/>
          </w:tcPr>
          <w:p w14:paraId="194EEF52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14:paraId="20450572" w14:textId="77777777" w:rsidR="001427BD" w:rsidRPr="003B76C8" w:rsidRDefault="001427B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12EEA355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2. Human Compartments (t = 0)</w:t>
      </w:r>
    </w:p>
    <w:p w14:paraId="67FCC134" w14:textId="77777777" w:rsidR="001427BD" w:rsidRPr="003B76C8" w:rsidRDefault="00000000">
      <w:pPr>
        <w:spacing w:after="15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444444"/>
          <w:sz w:val="24"/>
          <w:szCs w:val="24"/>
        </w:rPr>
        <w:t>District/catchment-level human population broken into disease and vaccination states.</w:t>
      </w:r>
    </w:p>
    <w:tbl>
      <w:tblPr>
        <w:tblStyle w:val="GridTable3-Accent4"/>
        <w:tblW w:w="9360" w:type="dxa"/>
        <w:tblLook w:val="0620" w:firstRow="1" w:lastRow="0" w:firstColumn="0" w:lastColumn="0" w:noHBand="1" w:noVBand="1"/>
      </w:tblPr>
      <w:tblGrid>
        <w:gridCol w:w="490"/>
        <w:gridCol w:w="2542"/>
        <w:gridCol w:w="4086"/>
        <w:gridCol w:w="1186"/>
        <w:gridCol w:w="1056"/>
      </w:tblGrid>
      <w:tr w:rsidR="001427BD" w:rsidRPr="003B76C8" w14:paraId="70B7456B" w14:textId="77777777" w:rsidTr="003B76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" w:type="dxa"/>
            <w:shd w:val="clear" w:color="auto" w:fill="A8D08D" w:themeFill="accent6" w:themeFillTint="99"/>
          </w:tcPr>
          <w:p w14:paraId="668CD31C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600" w:type="dxa"/>
            <w:shd w:val="clear" w:color="auto" w:fill="A8D08D" w:themeFill="accent6" w:themeFillTint="99"/>
          </w:tcPr>
          <w:p w14:paraId="438BD69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4260" w:type="dxa"/>
            <w:shd w:val="clear" w:color="auto" w:fill="A8D08D" w:themeFill="accent6" w:themeFillTint="99"/>
          </w:tcPr>
          <w:p w14:paraId="66B4AE5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What to Enter / How to Get It</w:t>
            </w:r>
          </w:p>
        </w:tc>
        <w:tc>
          <w:tcPr>
            <w:tcW w:w="1200" w:type="dxa"/>
            <w:shd w:val="clear" w:color="auto" w:fill="A8D08D" w:themeFill="accent6" w:themeFillTint="99"/>
          </w:tcPr>
          <w:p w14:paraId="3C90CB4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Range / Format</w:t>
            </w:r>
          </w:p>
        </w:tc>
        <w:tc>
          <w:tcPr>
            <w:tcW w:w="800" w:type="dxa"/>
            <w:shd w:val="clear" w:color="auto" w:fill="A8D08D" w:themeFill="accent6" w:themeFillTint="99"/>
          </w:tcPr>
          <w:p w14:paraId="19D3E2F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</w:tr>
      <w:tr w:rsidR="001427BD" w:rsidRPr="003B76C8" w14:paraId="5D8A8D5A" w14:textId="77777777" w:rsidTr="003B76C8">
        <w:tc>
          <w:tcPr>
            <w:tcW w:w="500" w:type="dxa"/>
          </w:tcPr>
          <w:p w14:paraId="41EF075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14:paraId="09F97CF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Nₕ – Total human population</w:t>
            </w:r>
          </w:p>
        </w:tc>
        <w:tc>
          <w:tcPr>
            <w:tcW w:w="4260" w:type="dxa"/>
          </w:tcPr>
          <w:p w14:paraId="433C83F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Total number of humans in the study area at t = 0. Fill from census or estimated catchment population.</w:t>
            </w:r>
          </w:p>
        </w:tc>
        <w:tc>
          <w:tcPr>
            <w:tcW w:w="1200" w:type="dxa"/>
          </w:tcPr>
          <w:p w14:paraId="03A0AD2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Integer ≥ 0.</w:t>
            </w:r>
          </w:p>
        </w:tc>
        <w:tc>
          <w:tcPr>
            <w:tcW w:w="800" w:type="dxa"/>
          </w:tcPr>
          <w:p w14:paraId="46203B2A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1177361</w:t>
            </w:r>
          </w:p>
        </w:tc>
      </w:tr>
      <w:tr w:rsidR="001427BD" w:rsidRPr="003B76C8" w14:paraId="7E614C3F" w14:textId="77777777" w:rsidTr="003B76C8">
        <w:tc>
          <w:tcPr>
            <w:tcW w:w="500" w:type="dxa"/>
          </w:tcPr>
          <w:p w14:paraId="275DA065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</w:tcPr>
          <w:p w14:paraId="4DDF0F5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Sₕ – Susceptible humans</w:t>
            </w:r>
          </w:p>
        </w:tc>
        <w:tc>
          <w:tcPr>
            <w:tcW w:w="4260" w:type="dxa"/>
          </w:tcPr>
          <w:p w14:paraId="015C75D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Humans who are at risk and not infected or vaccinated at t = 0. Auto: Sₕ = Nₕ −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I_Ah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− Iₕ − Rₕ − V₁ₕ − V₂ₕ.</w:t>
            </w:r>
          </w:p>
        </w:tc>
        <w:tc>
          <w:tcPr>
            <w:tcW w:w="1200" w:type="dxa"/>
          </w:tcPr>
          <w:p w14:paraId="53218EE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≤ Sₕ ≤ Nₕ.</w:t>
            </w:r>
          </w:p>
        </w:tc>
        <w:tc>
          <w:tcPr>
            <w:tcW w:w="800" w:type="dxa"/>
          </w:tcPr>
          <w:p w14:paraId="4973E692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1177318</w:t>
            </w:r>
          </w:p>
        </w:tc>
      </w:tr>
      <w:tr w:rsidR="001427BD" w:rsidRPr="003B76C8" w14:paraId="6401F03D" w14:textId="77777777" w:rsidTr="003B76C8">
        <w:tc>
          <w:tcPr>
            <w:tcW w:w="500" w:type="dxa"/>
          </w:tcPr>
          <w:p w14:paraId="75B70B9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0" w:type="dxa"/>
          </w:tcPr>
          <w:p w14:paraId="0A447FB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I_Aₕ – Asymptomatic infectious humans</w:t>
            </w:r>
          </w:p>
        </w:tc>
        <w:tc>
          <w:tcPr>
            <w:tcW w:w="4260" w:type="dxa"/>
          </w:tcPr>
          <w:p w14:paraId="00E3691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Humans infected with JEV but without clear clinical signs at t = 0. Use surveillance / literature estimates of </w:t>
            </w:r>
            <w:proofErr w:type="gram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asymptomatic :</w:t>
            </w:r>
            <w:proofErr w:type="gram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symptomatic ratio, or set small if unknown.</w:t>
            </w:r>
          </w:p>
        </w:tc>
        <w:tc>
          <w:tcPr>
            <w:tcW w:w="1200" w:type="dxa"/>
          </w:tcPr>
          <w:p w14:paraId="2F427AC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Integer ≥ 0 and ≤ Nₕ.</w:t>
            </w:r>
          </w:p>
        </w:tc>
        <w:tc>
          <w:tcPr>
            <w:tcW w:w="800" w:type="dxa"/>
          </w:tcPr>
          <w:p w14:paraId="246C2631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27BD" w:rsidRPr="003B76C8" w14:paraId="46166B34" w14:textId="77777777" w:rsidTr="003B76C8">
        <w:tc>
          <w:tcPr>
            <w:tcW w:w="500" w:type="dxa"/>
          </w:tcPr>
          <w:p w14:paraId="396A52D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00" w:type="dxa"/>
          </w:tcPr>
          <w:p w14:paraId="3EF8582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Iₕ – Symptomatic infectious humans</w:t>
            </w:r>
          </w:p>
        </w:tc>
        <w:tc>
          <w:tcPr>
            <w:tcW w:w="4260" w:type="dxa"/>
          </w:tcPr>
          <w:p w14:paraId="585A681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Clinically apparent JE cases at t = 0. Fill from line list / case records for the start day of simulation.</w:t>
            </w:r>
          </w:p>
        </w:tc>
        <w:tc>
          <w:tcPr>
            <w:tcW w:w="1200" w:type="dxa"/>
          </w:tcPr>
          <w:p w14:paraId="1F57523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Integer ≥ 0 and ≤ Nₕ.</w:t>
            </w:r>
          </w:p>
        </w:tc>
        <w:tc>
          <w:tcPr>
            <w:tcW w:w="800" w:type="dxa"/>
          </w:tcPr>
          <w:p w14:paraId="73F982A8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1427BD" w:rsidRPr="003B76C8" w14:paraId="13A20F2F" w14:textId="77777777" w:rsidTr="003B76C8">
        <w:tc>
          <w:tcPr>
            <w:tcW w:w="500" w:type="dxa"/>
          </w:tcPr>
          <w:p w14:paraId="651B939D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0" w:type="dxa"/>
          </w:tcPr>
          <w:p w14:paraId="6DFAD33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Rₕ – Recovered humans</w:t>
            </w:r>
          </w:p>
        </w:tc>
        <w:tc>
          <w:tcPr>
            <w:tcW w:w="4260" w:type="dxa"/>
          </w:tcPr>
          <w:p w14:paraId="4A84BA8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Humans who had JE earlier and are now recovered and immune at t = 0. Use cumulative recovered JE cases before simulation start (minus deaths).</w:t>
            </w:r>
          </w:p>
        </w:tc>
        <w:tc>
          <w:tcPr>
            <w:tcW w:w="1200" w:type="dxa"/>
          </w:tcPr>
          <w:p w14:paraId="60F4515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Integer ≥ 0 and ≤ Nₕ.</w:t>
            </w:r>
          </w:p>
        </w:tc>
        <w:tc>
          <w:tcPr>
            <w:tcW w:w="800" w:type="dxa"/>
          </w:tcPr>
          <w:p w14:paraId="17E0517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27BD" w:rsidRPr="003B76C8" w14:paraId="08DF4B71" w14:textId="77777777" w:rsidTr="003B76C8">
        <w:tc>
          <w:tcPr>
            <w:tcW w:w="500" w:type="dxa"/>
          </w:tcPr>
          <w:p w14:paraId="4B2D467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0" w:type="dxa"/>
          </w:tcPr>
          <w:p w14:paraId="22F4BBD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V₁ₕ – Humans vaccinated dose series I</w:t>
            </w:r>
          </w:p>
        </w:tc>
        <w:tc>
          <w:tcPr>
            <w:tcW w:w="4260" w:type="dxa"/>
          </w:tcPr>
          <w:p w14:paraId="21D5F51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Humans who completed JE vaccine primary series (dose I schedule) at t = 0. Use JE vaccination programme data for first dose/primary series completed.</w:t>
            </w:r>
          </w:p>
        </w:tc>
        <w:tc>
          <w:tcPr>
            <w:tcW w:w="1200" w:type="dxa"/>
          </w:tcPr>
          <w:p w14:paraId="2827C3E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Integer ≥ 0 and ≤ Nₕ.</w:t>
            </w:r>
          </w:p>
        </w:tc>
        <w:tc>
          <w:tcPr>
            <w:tcW w:w="800" w:type="dxa"/>
          </w:tcPr>
          <w:p w14:paraId="189435C3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1427BD" w:rsidRPr="003B76C8" w14:paraId="3F675387" w14:textId="77777777" w:rsidTr="003B76C8">
        <w:tc>
          <w:tcPr>
            <w:tcW w:w="500" w:type="dxa"/>
          </w:tcPr>
          <w:p w14:paraId="795DDA1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00" w:type="dxa"/>
          </w:tcPr>
          <w:p w14:paraId="2085368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V₂ₕ – Humans vaccinated dose series II</w:t>
            </w:r>
          </w:p>
        </w:tc>
        <w:tc>
          <w:tcPr>
            <w:tcW w:w="4260" w:type="dxa"/>
          </w:tcPr>
          <w:p w14:paraId="318957C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Humans who received booster / second series of JE vaccine at t = 0. Use JE vaccination records for second dose / booster coverage.</w:t>
            </w:r>
          </w:p>
        </w:tc>
        <w:tc>
          <w:tcPr>
            <w:tcW w:w="1200" w:type="dxa"/>
          </w:tcPr>
          <w:p w14:paraId="7CF8F70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Integer ≥ 0 and ≤ Nₕ.</w:t>
            </w:r>
          </w:p>
        </w:tc>
        <w:tc>
          <w:tcPr>
            <w:tcW w:w="800" w:type="dxa"/>
          </w:tcPr>
          <w:p w14:paraId="7629DF45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14:paraId="79FC2673" w14:textId="77777777" w:rsidR="001427BD" w:rsidRPr="003B76C8" w:rsidRDefault="001427B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595C03C2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3. Pig Compartments (t = 0)</w:t>
      </w:r>
    </w:p>
    <w:p w14:paraId="3A091E97" w14:textId="77777777" w:rsidR="001427BD" w:rsidRPr="003B76C8" w:rsidRDefault="00000000">
      <w:pPr>
        <w:spacing w:after="15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444444"/>
          <w:sz w:val="24"/>
          <w:szCs w:val="24"/>
        </w:rPr>
        <w:t>Pigs are the principal amplifying host for JE virus.</w:t>
      </w:r>
    </w:p>
    <w:tbl>
      <w:tblPr>
        <w:tblStyle w:val="GridTable1Light-Accent3"/>
        <w:tblW w:w="9360" w:type="dxa"/>
        <w:tblLook w:val="0000" w:firstRow="0" w:lastRow="0" w:firstColumn="0" w:lastColumn="0" w:noHBand="0" w:noVBand="0"/>
      </w:tblPr>
      <w:tblGrid>
        <w:gridCol w:w="494"/>
        <w:gridCol w:w="2550"/>
        <w:gridCol w:w="4149"/>
        <w:gridCol w:w="1191"/>
        <w:gridCol w:w="976"/>
      </w:tblGrid>
      <w:tr w:rsidR="001427BD" w:rsidRPr="003B76C8" w14:paraId="6FFC6360" w14:textId="77777777" w:rsidTr="00D9443B">
        <w:tc>
          <w:tcPr>
            <w:tcW w:w="500" w:type="dxa"/>
            <w:shd w:val="clear" w:color="auto" w:fill="C9C9C9" w:themeFill="accent3" w:themeFillTint="99"/>
          </w:tcPr>
          <w:p w14:paraId="0AE75D0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2600" w:type="dxa"/>
            <w:shd w:val="clear" w:color="auto" w:fill="C9C9C9" w:themeFill="accent3" w:themeFillTint="99"/>
          </w:tcPr>
          <w:p w14:paraId="68E884A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4260" w:type="dxa"/>
            <w:shd w:val="clear" w:color="auto" w:fill="C9C9C9" w:themeFill="accent3" w:themeFillTint="99"/>
          </w:tcPr>
          <w:p w14:paraId="3B369DF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What to Enter / How to Get It</w:t>
            </w:r>
          </w:p>
        </w:tc>
        <w:tc>
          <w:tcPr>
            <w:tcW w:w="1200" w:type="dxa"/>
            <w:shd w:val="clear" w:color="auto" w:fill="C9C9C9" w:themeFill="accent3" w:themeFillTint="99"/>
          </w:tcPr>
          <w:p w14:paraId="3957D52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Range / Format</w:t>
            </w:r>
          </w:p>
        </w:tc>
        <w:tc>
          <w:tcPr>
            <w:tcW w:w="800" w:type="dxa"/>
            <w:shd w:val="clear" w:color="auto" w:fill="C9C9C9" w:themeFill="accent3" w:themeFillTint="99"/>
          </w:tcPr>
          <w:p w14:paraId="7998A4E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Default</w:t>
            </w:r>
          </w:p>
        </w:tc>
      </w:tr>
      <w:tr w:rsidR="001427BD" w:rsidRPr="003B76C8" w14:paraId="79730CAD" w14:textId="77777777" w:rsidTr="003B76C8">
        <w:tc>
          <w:tcPr>
            <w:tcW w:w="500" w:type="dxa"/>
          </w:tcPr>
          <w:p w14:paraId="407D5223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14:paraId="22C4D0B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Nₚ – Total pig population</w:t>
            </w:r>
          </w:p>
        </w:tc>
        <w:tc>
          <w:tcPr>
            <w:tcW w:w="4260" w:type="dxa"/>
          </w:tcPr>
          <w:p w14:paraId="7388120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Total number of pigs in the study area at t = 0. Fill from livestock census or local herd listings.</w:t>
            </w:r>
          </w:p>
        </w:tc>
        <w:tc>
          <w:tcPr>
            <w:tcW w:w="1200" w:type="dxa"/>
          </w:tcPr>
          <w:p w14:paraId="4628D26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Integer ≥ 0.</w:t>
            </w:r>
          </w:p>
        </w:tc>
        <w:tc>
          <w:tcPr>
            <w:tcW w:w="800" w:type="dxa"/>
          </w:tcPr>
          <w:p w14:paraId="271C0831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3289</w:t>
            </w:r>
          </w:p>
        </w:tc>
      </w:tr>
      <w:tr w:rsidR="001427BD" w:rsidRPr="003B76C8" w14:paraId="68B4C60F" w14:textId="77777777" w:rsidTr="003B76C8">
        <w:tc>
          <w:tcPr>
            <w:tcW w:w="500" w:type="dxa"/>
          </w:tcPr>
          <w:p w14:paraId="4DBA309F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</w:tcPr>
          <w:p w14:paraId="7AE833A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Sₚ – Susceptible pigs</w:t>
            </w:r>
          </w:p>
        </w:tc>
        <w:tc>
          <w:tcPr>
            <w:tcW w:w="4260" w:type="dxa"/>
          </w:tcPr>
          <w:p w14:paraId="3911889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Pigs that are at risk but not infected or in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biosecure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units at t = 0. Auto: Sₚ = Nₚ − Iₚ − Bₚ.</w:t>
            </w:r>
          </w:p>
        </w:tc>
        <w:tc>
          <w:tcPr>
            <w:tcW w:w="1200" w:type="dxa"/>
          </w:tcPr>
          <w:p w14:paraId="70B218A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≤ Sₚ ≤ Nₚ.</w:t>
            </w:r>
          </w:p>
        </w:tc>
        <w:tc>
          <w:tcPr>
            <w:tcW w:w="800" w:type="dxa"/>
          </w:tcPr>
          <w:p w14:paraId="7B683B38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1427BD" w:rsidRPr="003B76C8" w14:paraId="0D81386E" w14:textId="77777777" w:rsidTr="003B76C8">
        <w:tc>
          <w:tcPr>
            <w:tcW w:w="500" w:type="dxa"/>
          </w:tcPr>
          <w:p w14:paraId="7A1F0AE2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0" w:type="dxa"/>
          </w:tcPr>
          <w:p w14:paraId="13F16D5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Iₚ – Infectious pigs</w:t>
            </w:r>
          </w:p>
        </w:tc>
        <w:tc>
          <w:tcPr>
            <w:tcW w:w="4260" w:type="dxa"/>
          </w:tcPr>
          <w:p w14:paraId="2FFCC2E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Pigs currently infectious for JEV at t = 0. Use clinically affected +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viremic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pigs from field data or scenario assumption.</w:t>
            </w:r>
          </w:p>
        </w:tc>
        <w:tc>
          <w:tcPr>
            <w:tcW w:w="1200" w:type="dxa"/>
          </w:tcPr>
          <w:p w14:paraId="0ECCF98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Integer ≥ 0 and ≤ Nₚ.</w:t>
            </w:r>
          </w:p>
        </w:tc>
        <w:tc>
          <w:tcPr>
            <w:tcW w:w="800" w:type="dxa"/>
          </w:tcPr>
          <w:p w14:paraId="688D3D9A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1427BD" w:rsidRPr="003B76C8" w14:paraId="41C3973A" w14:textId="77777777" w:rsidTr="003B76C8">
        <w:tc>
          <w:tcPr>
            <w:tcW w:w="500" w:type="dxa"/>
          </w:tcPr>
          <w:p w14:paraId="315E94A0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0" w:type="dxa"/>
          </w:tcPr>
          <w:p w14:paraId="14788E9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Bₚ – Bio-secured pigs</w:t>
            </w:r>
          </w:p>
        </w:tc>
        <w:tc>
          <w:tcPr>
            <w:tcW w:w="4260" w:type="dxa"/>
          </w:tcPr>
          <w:p w14:paraId="7003609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Pigs kept under high biosecurity (pens, screens, housing) reducing mosquito contact. Fill with number of pigs under effective biosecurity interventions.</w:t>
            </w:r>
          </w:p>
        </w:tc>
        <w:tc>
          <w:tcPr>
            <w:tcW w:w="1200" w:type="dxa"/>
          </w:tcPr>
          <w:p w14:paraId="4C9C847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Integer ≥ 0 and ≤ Nₚ.</w:t>
            </w:r>
          </w:p>
        </w:tc>
        <w:tc>
          <w:tcPr>
            <w:tcW w:w="800" w:type="dxa"/>
          </w:tcPr>
          <w:p w14:paraId="2B930215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</w:tbl>
    <w:p w14:paraId="078D5D5F" w14:textId="77777777" w:rsidR="001427BD" w:rsidRPr="003B76C8" w:rsidRDefault="001427B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5543BC0F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4. Wading Bird Compartments (t = 0)</w:t>
      </w:r>
    </w:p>
    <w:p w14:paraId="22926E48" w14:textId="77777777" w:rsidR="001427BD" w:rsidRPr="003B76C8" w:rsidRDefault="00000000">
      <w:pPr>
        <w:spacing w:after="15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444444"/>
          <w:sz w:val="24"/>
          <w:szCs w:val="24"/>
        </w:rPr>
        <w:t>Ardeid wading birds are the natural reservoir host.</w:t>
      </w:r>
    </w:p>
    <w:tbl>
      <w:tblPr>
        <w:tblStyle w:val="GridTable4-Accent6"/>
        <w:tblW w:w="9360" w:type="dxa"/>
        <w:tblLook w:val="0620" w:firstRow="1" w:lastRow="0" w:firstColumn="0" w:lastColumn="0" w:noHBand="1" w:noVBand="1"/>
      </w:tblPr>
      <w:tblGrid>
        <w:gridCol w:w="493"/>
        <w:gridCol w:w="2550"/>
        <w:gridCol w:w="4150"/>
        <w:gridCol w:w="1191"/>
        <w:gridCol w:w="976"/>
      </w:tblGrid>
      <w:tr w:rsidR="001427BD" w:rsidRPr="003B76C8" w14:paraId="47971F02" w14:textId="77777777" w:rsidTr="003B76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" w:type="dxa"/>
            <w:shd w:val="clear" w:color="auto" w:fill="9CC2E5" w:themeFill="accent5" w:themeFillTint="99"/>
          </w:tcPr>
          <w:p w14:paraId="669D8A09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600" w:type="dxa"/>
            <w:shd w:val="clear" w:color="auto" w:fill="9CC2E5" w:themeFill="accent5" w:themeFillTint="99"/>
          </w:tcPr>
          <w:p w14:paraId="44C558D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4260" w:type="dxa"/>
            <w:shd w:val="clear" w:color="auto" w:fill="9CC2E5" w:themeFill="accent5" w:themeFillTint="99"/>
          </w:tcPr>
          <w:p w14:paraId="61EE9E6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What to Enter / How to Get It</w:t>
            </w:r>
          </w:p>
        </w:tc>
        <w:tc>
          <w:tcPr>
            <w:tcW w:w="1200" w:type="dxa"/>
            <w:shd w:val="clear" w:color="auto" w:fill="9CC2E5" w:themeFill="accent5" w:themeFillTint="99"/>
          </w:tcPr>
          <w:p w14:paraId="1A3EBA6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Range / Format</w:t>
            </w:r>
          </w:p>
        </w:tc>
        <w:tc>
          <w:tcPr>
            <w:tcW w:w="800" w:type="dxa"/>
            <w:shd w:val="clear" w:color="auto" w:fill="9CC2E5" w:themeFill="accent5" w:themeFillTint="99"/>
          </w:tcPr>
          <w:p w14:paraId="73816F4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</w:tr>
      <w:tr w:rsidR="001427BD" w:rsidRPr="003B76C8" w14:paraId="5E6A6C9C" w14:textId="77777777" w:rsidTr="003B76C8">
        <w:tc>
          <w:tcPr>
            <w:tcW w:w="500" w:type="dxa"/>
          </w:tcPr>
          <w:p w14:paraId="0B8D615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14:paraId="49DB7F9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Total wading bird population</w:t>
            </w:r>
          </w:p>
        </w:tc>
        <w:tc>
          <w:tcPr>
            <w:tcW w:w="4260" w:type="dxa"/>
          </w:tcPr>
          <w:p w14:paraId="04B9FCC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Total number of wading birds acting as JEV reservoir at t = 0. Fill from bird census / ecological survey or scenario assumption.</w:t>
            </w:r>
          </w:p>
        </w:tc>
        <w:tc>
          <w:tcPr>
            <w:tcW w:w="1200" w:type="dxa"/>
          </w:tcPr>
          <w:p w14:paraId="6E221D2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Integer ≥ 0.</w:t>
            </w:r>
          </w:p>
        </w:tc>
        <w:tc>
          <w:tcPr>
            <w:tcW w:w="800" w:type="dxa"/>
          </w:tcPr>
          <w:p w14:paraId="2DC44A7D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1005</w:t>
            </w:r>
          </w:p>
        </w:tc>
      </w:tr>
      <w:tr w:rsidR="001427BD" w:rsidRPr="003B76C8" w14:paraId="13DA1791" w14:textId="77777777" w:rsidTr="003B76C8">
        <w:tc>
          <w:tcPr>
            <w:tcW w:w="500" w:type="dxa"/>
          </w:tcPr>
          <w:p w14:paraId="33D5764A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600" w:type="dxa"/>
          </w:tcPr>
          <w:p w14:paraId="1F27B1A7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S_w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Susceptible wading birds</w:t>
            </w:r>
          </w:p>
        </w:tc>
        <w:tc>
          <w:tcPr>
            <w:tcW w:w="4260" w:type="dxa"/>
          </w:tcPr>
          <w:p w14:paraId="50D7130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Wading birds at risk of infection but not yet infected or behind barriers at t = 0. Auto: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S_w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−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−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B_w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0" w:type="dxa"/>
          </w:tcPr>
          <w:p w14:paraId="6602F38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0 ≤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S_w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≤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14:paraId="1A463E8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</w:tc>
      </w:tr>
      <w:tr w:rsidR="001427BD" w:rsidRPr="003B76C8" w14:paraId="0035C97D" w14:textId="77777777" w:rsidTr="003B76C8">
        <w:tc>
          <w:tcPr>
            <w:tcW w:w="500" w:type="dxa"/>
          </w:tcPr>
          <w:p w14:paraId="30C6CA9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0" w:type="dxa"/>
          </w:tcPr>
          <w:p w14:paraId="55564C6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I_w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Infectious wading birds</w:t>
            </w:r>
          </w:p>
        </w:tc>
        <w:tc>
          <w:tcPr>
            <w:tcW w:w="4260" w:type="dxa"/>
          </w:tcPr>
          <w:p w14:paraId="6ABD236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Wading birds currently infectious for JEV at t = 0. Use small positive numbers based on reservoir prevalence studies or scenarios.</w:t>
            </w:r>
          </w:p>
        </w:tc>
        <w:tc>
          <w:tcPr>
            <w:tcW w:w="1200" w:type="dxa"/>
          </w:tcPr>
          <w:p w14:paraId="7504953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Integer ≥ 0 and ≤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14:paraId="4BDD348C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427BD" w:rsidRPr="003B76C8" w14:paraId="1B86CB68" w14:textId="77777777" w:rsidTr="003B76C8">
        <w:tc>
          <w:tcPr>
            <w:tcW w:w="500" w:type="dxa"/>
          </w:tcPr>
          <w:p w14:paraId="2A7F5FB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0" w:type="dxa"/>
          </w:tcPr>
          <w:p w14:paraId="73885FE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B_w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Barrier-protected wading birds</w:t>
            </w:r>
          </w:p>
        </w:tc>
        <w:tc>
          <w:tcPr>
            <w:tcW w:w="4260" w:type="dxa"/>
          </w:tcPr>
          <w:p w14:paraId="51D4EAE7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Wading birds effectively excluded from pig / mosquito interface (barriers, habitat management). Fill with approximate number under bird barriers (nets, distance from farms).</w:t>
            </w:r>
          </w:p>
        </w:tc>
        <w:tc>
          <w:tcPr>
            <w:tcW w:w="1200" w:type="dxa"/>
          </w:tcPr>
          <w:p w14:paraId="704477A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Integer ≥ 0 and ≤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14:paraId="0DAF5CC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1D362675" w14:textId="77777777" w:rsidR="001427BD" w:rsidRPr="003B76C8" w:rsidRDefault="001427B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416E0988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5. Mosquito Vector Compartments (t = 0)</w:t>
      </w:r>
    </w:p>
    <w:p w14:paraId="357074A2" w14:textId="77777777" w:rsidR="001427BD" w:rsidRPr="003B76C8" w:rsidRDefault="00000000">
      <w:pPr>
        <w:spacing w:after="15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444444"/>
          <w:sz w:val="24"/>
          <w:szCs w:val="24"/>
        </w:rPr>
        <w:t>Culex vectors link the reservoir/amplifying hosts to humans.</w:t>
      </w:r>
    </w:p>
    <w:tbl>
      <w:tblPr>
        <w:tblStyle w:val="GridTable4-Accent6"/>
        <w:tblW w:w="9360" w:type="dxa"/>
        <w:tblLook w:val="0620" w:firstRow="1" w:lastRow="0" w:firstColumn="0" w:lastColumn="0" w:noHBand="1" w:noVBand="1"/>
      </w:tblPr>
      <w:tblGrid>
        <w:gridCol w:w="493"/>
        <w:gridCol w:w="2550"/>
        <w:gridCol w:w="4150"/>
        <w:gridCol w:w="1191"/>
        <w:gridCol w:w="976"/>
      </w:tblGrid>
      <w:tr w:rsidR="001427BD" w:rsidRPr="003B76C8" w14:paraId="0976B039" w14:textId="77777777" w:rsidTr="003B76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" w:type="dxa"/>
          </w:tcPr>
          <w:p w14:paraId="3637369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600" w:type="dxa"/>
          </w:tcPr>
          <w:p w14:paraId="7F36A44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4260" w:type="dxa"/>
          </w:tcPr>
          <w:p w14:paraId="6E49656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What to Enter / How to Get It</w:t>
            </w:r>
          </w:p>
        </w:tc>
        <w:tc>
          <w:tcPr>
            <w:tcW w:w="1200" w:type="dxa"/>
          </w:tcPr>
          <w:p w14:paraId="10C3F50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Range / Format</w:t>
            </w:r>
          </w:p>
        </w:tc>
        <w:tc>
          <w:tcPr>
            <w:tcW w:w="800" w:type="dxa"/>
          </w:tcPr>
          <w:p w14:paraId="489B50C7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</w:tr>
      <w:tr w:rsidR="001427BD" w:rsidRPr="003B76C8" w14:paraId="635418E5" w14:textId="77777777" w:rsidTr="003B76C8">
        <w:tc>
          <w:tcPr>
            <w:tcW w:w="500" w:type="dxa"/>
          </w:tcPr>
          <w:p w14:paraId="29532A9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14:paraId="769598F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N_m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Total mosquito population</w:t>
            </w:r>
          </w:p>
        </w:tc>
        <w:tc>
          <w:tcPr>
            <w:tcW w:w="4260" w:type="dxa"/>
          </w:tcPr>
          <w:p w14:paraId="6419A80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Total adult female mosquito population relevant for JE transmission at t = 0. Use entomological indices or scenario assumption (e.g., per human or per pig).</w:t>
            </w:r>
          </w:p>
        </w:tc>
        <w:tc>
          <w:tcPr>
            <w:tcW w:w="1200" w:type="dxa"/>
          </w:tcPr>
          <w:p w14:paraId="474FD0D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Integer ≥ 0.</w:t>
            </w:r>
          </w:p>
        </w:tc>
        <w:tc>
          <w:tcPr>
            <w:tcW w:w="800" w:type="dxa"/>
          </w:tcPr>
          <w:p w14:paraId="5C0C6A3A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</w:tr>
      <w:tr w:rsidR="001427BD" w:rsidRPr="003B76C8" w14:paraId="778AB3B6" w14:textId="77777777" w:rsidTr="003B76C8">
        <w:tc>
          <w:tcPr>
            <w:tcW w:w="500" w:type="dxa"/>
          </w:tcPr>
          <w:p w14:paraId="2C4C03A0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</w:tcPr>
          <w:p w14:paraId="7B33E35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S_m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Susceptible mosquitoes</w:t>
            </w:r>
          </w:p>
        </w:tc>
        <w:tc>
          <w:tcPr>
            <w:tcW w:w="4260" w:type="dxa"/>
          </w:tcPr>
          <w:p w14:paraId="10A4A49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Mosquitoes that are not yet infected with JEV at t = 0. Auto: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S_m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−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0" w:type="dxa"/>
          </w:tcPr>
          <w:p w14:paraId="174B32F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0 ≤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S_m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≤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14:paraId="3AEED5BE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1427BD" w:rsidRPr="003B76C8" w14:paraId="2229A885" w14:textId="77777777" w:rsidTr="003B76C8">
        <w:tc>
          <w:tcPr>
            <w:tcW w:w="500" w:type="dxa"/>
          </w:tcPr>
          <w:p w14:paraId="1F1D3738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0" w:type="dxa"/>
          </w:tcPr>
          <w:p w14:paraId="3EDC1A9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I_m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Infectious mosquitoes</w:t>
            </w:r>
          </w:p>
        </w:tc>
        <w:tc>
          <w:tcPr>
            <w:tcW w:w="4260" w:type="dxa"/>
          </w:tcPr>
          <w:p w14:paraId="1CF5C68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Mosquitoes that carry JEV and can transmit infection at t = 0. Use proportion infectious from entomological studies or scenario (often small).</w:t>
            </w:r>
          </w:p>
        </w:tc>
        <w:tc>
          <w:tcPr>
            <w:tcW w:w="1200" w:type="dxa"/>
          </w:tcPr>
          <w:p w14:paraId="1BCD626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Integer ≥ 0 and ≤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14:paraId="31443ECA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</w:tbl>
    <w:p w14:paraId="3332C7B1" w14:textId="77777777" w:rsidR="001427BD" w:rsidRPr="003B76C8" w:rsidRDefault="001427B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3E238ED1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6. Demography &amp; Natural Rates</w:t>
      </w:r>
    </w:p>
    <w:p w14:paraId="752AC6A2" w14:textId="77777777" w:rsidR="001427BD" w:rsidRPr="003B76C8" w:rsidRDefault="00000000">
      <w:pPr>
        <w:spacing w:after="15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444444"/>
          <w:sz w:val="24"/>
          <w:szCs w:val="24"/>
        </w:rPr>
        <w:t>Recruitment, natural mortality, and logistic growth terms for each host/vector population.</w:t>
      </w:r>
    </w:p>
    <w:tbl>
      <w:tblPr>
        <w:tblStyle w:val="GridTable4-Accent5"/>
        <w:tblW w:w="9360" w:type="dxa"/>
        <w:tblLook w:val="0620" w:firstRow="1" w:lastRow="0" w:firstColumn="0" w:lastColumn="0" w:noHBand="1" w:noVBand="1"/>
      </w:tblPr>
      <w:tblGrid>
        <w:gridCol w:w="498"/>
        <w:gridCol w:w="2544"/>
        <w:gridCol w:w="4132"/>
        <w:gridCol w:w="1190"/>
        <w:gridCol w:w="996"/>
      </w:tblGrid>
      <w:tr w:rsidR="001427BD" w:rsidRPr="003B76C8" w14:paraId="7C28D5CB" w14:textId="77777777" w:rsidTr="002A7D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" w:type="dxa"/>
          </w:tcPr>
          <w:p w14:paraId="05132579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600" w:type="dxa"/>
          </w:tcPr>
          <w:p w14:paraId="4A9146B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4260" w:type="dxa"/>
          </w:tcPr>
          <w:p w14:paraId="4253617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What to Enter / How to Get It</w:t>
            </w:r>
          </w:p>
        </w:tc>
        <w:tc>
          <w:tcPr>
            <w:tcW w:w="1200" w:type="dxa"/>
          </w:tcPr>
          <w:p w14:paraId="13CF749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Range / Format</w:t>
            </w:r>
          </w:p>
        </w:tc>
        <w:tc>
          <w:tcPr>
            <w:tcW w:w="800" w:type="dxa"/>
          </w:tcPr>
          <w:p w14:paraId="18B8949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</w:tr>
      <w:tr w:rsidR="001427BD" w:rsidRPr="003B76C8" w14:paraId="099B51C8" w14:textId="77777777" w:rsidTr="002A7DE8">
        <w:tc>
          <w:tcPr>
            <w:tcW w:w="500" w:type="dxa"/>
          </w:tcPr>
          <w:p w14:paraId="459EB96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14:paraId="753B19D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bₕ – Human recruitment rate</w:t>
            </w:r>
          </w:p>
        </w:tc>
        <w:tc>
          <w:tcPr>
            <w:tcW w:w="4260" w:type="dxa"/>
          </w:tcPr>
          <w:p w14:paraId="775BA8F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Per capita human recruitment (births + in-migration) per day. Choose small value based on crude birth rate / 365 for the population.</w:t>
            </w:r>
          </w:p>
        </w:tc>
        <w:tc>
          <w:tcPr>
            <w:tcW w:w="1200" w:type="dxa"/>
          </w:tcPr>
          <w:p w14:paraId="126D235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0.02 per day.</w:t>
            </w:r>
          </w:p>
        </w:tc>
        <w:tc>
          <w:tcPr>
            <w:tcW w:w="800" w:type="dxa"/>
          </w:tcPr>
          <w:p w14:paraId="7FF232FF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0.016</w:t>
            </w:r>
          </w:p>
        </w:tc>
      </w:tr>
      <w:tr w:rsidR="001427BD" w:rsidRPr="003B76C8" w14:paraId="5A293DE6" w14:textId="77777777" w:rsidTr="002A7DE8">
        <w:tc>
          <w:tcPr>
            <w:tcW w:w="500" w:type="dxa"/>
          </w:tcPr>
          <w:p w14:paraId="269D23EC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</w:tcPr>
          <w:p w14:paraId="7577EC6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bₚ – Pig recruitment rate</w:t>
            </w:r>
          </w:p>
        </w:tc>
        <w:tc>
          <w:tcPr>
            <w:tcW w:w="4260" w:type="dxa"/>
          </w:tcPr>
          <w:p w14:paraId="14B4F2D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Per capita recruitment of pigs (births / replacement) per day. Estimate from herd turnover: annual farrowing / 365.</w:t>
            </w:r>
          </w:p>
        </w:tc>
        <w:tc>
          <w:tcPr>
            <w:tcW w:w="1200" w:type="dxa"/>
          </w:tcPr>
          <w:p w14:paraId="7CD4668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0.01 per day.</w:t>
            </w:r>
          </w:p>
        </w:tc>
        <w:tc>
          <w:tcPr>
            <w:tcW w:w="800" w:type="dxa"/>
          </w:tcPr>
          <w:p w14:paraId="7B6E8675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0.00147</w:t>
            </w:r>
          </w:p>
        </w:tc>
      </w:tr>
      <w:tr w:rsidR="001427BD" w:rsidRPr="003B76C8" w14:paraId="151C6224" w14:textId="77777777" w:rsidTr="002A7DE8">
        <w:tc>
          <w:tcPr>
            <w:tcW w:w="500" w:type="dxa"/>
          </w:tcPr>
          <w:p w14:paraId="7B388315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00" w:type="dxa"/>
          </w:tcPr>
          <w:p w14:paraId="4209B75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b_w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Wading bird recruitment rate</w:t>
            </w:r>
          </w:p>
        </w:tc>
        <w:tc>
          <w:tcPr>
            <w:tcW w:w="4260" w:type="dxa"/>
          </w:tcPr>
          <w:p w14:paraId="09CC32A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Per capita recruitment of wading birds per day. Derive from ecological data or use literature-based values.</w:t>
            </w:r>
          </w:p>
        </w:tc>
        <w:tc>
          <w:tcPr>
            <w:tcW w:w="1200" w:type="dxa"/>
          </w:tcPr>
          <w:p w14:paraId="79BF9ED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0.1 per day.</w:t>
            </w:r>
          </w:p>
        </w:tc>
        <w:tc>
          <w:tcPr>
            <w:tcW w:w="800" w:type="dxa"/>
          </w:tcPr>
          <w:p w14:paraId="473D48BD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0.084</w:t>
            </w:r>
          </w:p>
        </w:tc>
      </w:tr>
      <w:tr w:rsidR="001427BD" w:rsidRPr="003B76C8" w14:paraId="2ACC3510" w14:textId="77777777" w:rsidTr="002A7DE8">
        <w:tc>
          <w:tcPr>
            <w:tcW w:w="500" w:type="dxa"/>
          </w:tcPr>
          <w:p w14:paraId="7CEDACA2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0" w:type="dxa"/>
          </w:tcPr>
          <w:p w14:paraId="4504AD7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b_m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Mosquito recruitment rate</w:t>
            </w:r>
          </w:p>
        </w:tc>
        <w:tc>
          <w:tcPr>
            <w:tcW w:w="4260" w:type="dxa"/>
          </w:tcPr>
          <w:p w14:paraId="5F7FE71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Per capita adult mosquito recruitment per day. Calibrate to entomological data; higher in rainy season.</w:t>
            </w:r>
          </w:p>
        </w:tc>
        <w:tc>
          <w:tcPr>
            <w:tcW w:w="1200" w:type="dxa"/>
          </w:tcPr>
          <w:p w14:paraId="48D0C83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0.5 per day.</w:t>
            </w:r>
          </w:p>
        </w:tc>
        <w:tc>
          <w:tcPr>
            <w:tcW w:w="800" w:type="dxa"/>
          </w:tcPr>
          <w:p w14:paraId="0C9E2A5F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</w:tr>
      <w:tr w:rsidR="001427BD" w:rsidRPr="003B76C8" w14:paraId="13BDE0B2" w14:textId="77777777" w:rsidTr="002A7DE8">
        <w:tc>
          <w:tcPr>
            <w:tcW w:w="500" w:type="dxa"/>
          </w:tcPr>
          <w:p w14:paraId="771C634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0" w:type="dxa"/>
          </w:tcPr>
          <w:p w14:paraId="17198B0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μₕ – Natural death rate of humans</w:t>
            </w:r>
          </w:p>
        </w:tc>
        <w:tc>
          <w:tcPr>
            <w:tcW w:w="4260" w:type="dxa"/>
          </w:tcPr>
          <w:p w14:paraId="49F7B60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Per capita natural mortality of humans per day (non-JE). Compute as 1 / life expectancy (in days) or from crude death rate.</w:t>
            </w:r>
          </w:p>
        </w:tc>
        <w:tc>
          <w:tcPr>
            <w:tcW w:w="1200" w:type="dxa"/>
          </w:tcPr>
          <w:p w14:paraId="3F0E271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0.0001 per day.</w:t>
            </w:r>
          </w:p>
        </w:tc>
        <w:tc>
          <w:tcPr>
            <w:tcW w:w="800" w:type="dxa"/>
          </w:tcPr>
          <w:p w14:paraId="1CFF932D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</w:tr>
      <w:tr w:rsidR="001427BD" w:rsidRPr="003B76C8" w14:paraId="2548D538" w14:textId="77777777" w:rsidTr="002A7DE8">
        <w:tc>
          <w:tcPr>
            <w:tcW w:w="500" w:type="dxa"/>
          </w:tcPr>
          <w:p w14:paraId="7661BABE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0" w:type="dxa"/>
          </w:tcPr>
          <w:p w14:paraId="1E46001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μₚ – Natural death rate of pigs</w:t>
            </w:r>
          </w:p>
        </w:tc>
        <w:tc>
          <w:tcPr>
            <w:tcW w:w="4260" w:type="dxa"/>
          </w:tcPr>
          <w:p w14:paraId="7E7D352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Per capita natural mortality of pigs per day. Estimate from annual mortality in pig herds divided by 365.</w:t>
            </w:r>
          </w:p>
        </w:tc>
        <w:tc>
          <w:tcPr>
            <w:tcW w:w="1200" w:type="dxa"/>
          </w:tcPr>
          <w:p w14:paraId="246D4D7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0.01 per day.</w:t>
            </w:r>
          </w:p>
        </w:tc>
        <w:tc>
          <w:tcPr>
            <w:tcW w:w="800" w:type="dxa"/>
          </w:tcPr>
          <w:p w14:paraId="1040E975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0.058</w:t>
            </w:r>
          </w:p>
        </w:tc>
      </w:tr>
      <w:tr w:rsidR="001427BD" w:rsidRPr="003B76C8" w14:paraId="716A1894" w14:textId="77777777" w:rsidTr="002A7DE8">
        <w:tc>
          <w:tcPr>
            <w:tcW w:w="500" w:type="dxa"/>
          </w:tcPr>
          <w:p w14:paraId="76288328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00" w:type="dxa"/>
          </w:tcPr>
          <w:p w14:paraId="0B3C901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μ_w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Natural death rate of wading birds</w:t>
            </w:r>
          </w:p>
        </w:tc>
        <w:tc>
          <w:tcPr>
            <w:tcW w:w="4260" w:type="dxa"/>
          </w:tcPr>
          <w:p w14:paraId="2D7188A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Per capita natural mortality of wading birds per day. Use ecological literature or expert opinion.</w:t>
            </w:r>
          </w:p>
        </w:tc>
        <w:tc>
          <w:tcPr>
            <w:tcW w:w="1200" w:type="dxa"/>
          </w:tcPr>
          <w:p w14:paraId="7794E3A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0.1 per day.</w:t>
            </w:r>
          </w:p>
        </w:tc>
        <w:tc>
          <w:tcPr>
            <w:tcW w:w="800" w:type="dxa"/>
          </w:tcPr>
          <w:p w14:paraId="25EF8911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1427BD" w:rsidRPr="003B76C8" w14:paraId="21D7894B" w14:textId="77777777" w:rsidTr="002A7DE8">
        <w:tc>
          <w:tcPr>
            <w:tcW w:w="500" w:type="dxa"/>
          </w:tcPr>
          <w:p w14:paraId="0E3DE9F1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00" w:type="dxa"/>
          </w:tcPr>
          <w:p w14:paraId="784485E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μ_m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Natural death rate of mosquitoes</w:t>
            </w:r>
          </w:p>
        </w:tc>
        <w:tc>
          <w:tcPr>
            <w:tcW w:w="4260" w:type="dxa"/>
          </w:tcPr>
          <w:p w14:paraId="77D220C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Per capita daily mortality of adult mosquitoes. Approximate as 1 / mean lifespan of mosquito (in days).</w:t>
            </w:r>
          </w:p>
        </w:tc>
        <w:tc>
          <w:tcPr>
            <w:tcW w:w="1200" w:type="dxa"/>
          </w:tcPr>
          <w:p w14:paraId="53411457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0.05 – 0.3 per day.</w:t>
            </w:r>
          </w:p>
        </w:tc>
        <w:tc>
          <w:tcPr>
            <w:tcW w:w="800" w:type="dxa"/>
          </w:tcPr>
          <w:p w14:paraId="02B62C8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0.0714</w:t>
            </w:r>
          </w:p>
        </w:tc>
      </w:tr>
      <w:tr w:rsidR="001427BD" w:rsidRPr="003B76C8" w14:paraId="03A6A098" w14:textId="77777777" w:rsidTr="002A7DE8">
        <w:tc>
          <w:tcPr>
            <w:tcW w:w="500" w:type="dxa"/>
          </w:tcPr>
          <w:p w14:paraId="64BACFF2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00" w:type="dxa"/>
          </w:tcPr>
          <w:p w14:paraId="6DC8759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r_w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Intrinsic growth rate of birds</w:t>
            </w:r>
          </w:p>
        </w:tc>
        <w:tc>
          <w:tcPr>
            <w:tcW w:w="4260" w:type="dxa"/>
          </w:tcPr>
          <w:p w14:paraId="3E550E2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Logistic growth parameter for wading birds (difference of per capita birth and death). Choose so that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tends towards carrying capacity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K_w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over time.</w:t>
            </w:r>
          </w:p>
        </w:tc>
        <w:tc>
          <w:tcPr>
            <w:tcW w:w="1200" w:type="dxa"/>
          </w:tcPr>
          <w:p w14:paraId="600CF3C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1 per day.</w:t>
            </w:r>
          </w:p>
        </w:tc>
        <w:tc>
          <w:tcPr>
            <w:tcW w:w="800" w:type="dxa"/>
          </w:tcPr>
          <w:p w14:paraId="6BF07ADF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</w:tr>
      <w:tr w:rsidR="001427BD" w:rsidRPr="003B76C8" w14:paraId="3021246A" w14:textId="77777777" w:rsidTr="002A7DE8">
        <w:tc>
          <w:tcPr>
            <w:tcW w:w="500" w:type="dxa"/>
          </w:tcPr>
          <w:p w14:paraId="2A6BAA22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00" w:type="dxa"/>
          </w:tcPr>
          <w:p w14:paraId="7F6A95B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K_w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Carrying capacity of wading birds</w:t>
            </w:r>
          </w:p>
        </w:tc>
        <w:tc>
          <w:tcPr>
            <w:tcW w:w="4260" w:type="dxa"/>
          </w:tcPr>
          <w:p w14:paraId="36FDA21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Maximum sustainable wading bird population in the habitat. Set ≥ current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based on habitat size and literature.</w:t>
            </w:r>
          </w:p>
        </w:tc>
        <w:tc>
          <w:tcPr>
            <w:tcW w:w="1200" w:type="dxa"/>
          </w:tcPr>
          <w:p w14:paraId="3B40DAE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Integer ≥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14:paraId="421B65E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427BD" w:rsidRPr="003B76C8" w14:paraId="70B516BD" w14:textId="77777777" w:rsidTr="002A7DE8">
        <w:tc>
          <w:tcPr>
            <w:tcW w:w="500" w:type="dxa"/>
          </w:tcPr>
          <w:p w14:paraId="027EB3A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00" w:type="dxa"/>
          </w:tcPr>
          <w:p w14:paraId="51BEC98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r_m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Intrinsic growth rate of mosquitoes</w:t>
            </w:r>
          </w:p>
        </w:tc>
        <w:tc>
          <w:tcPr>
            <w:tcW w:w="4260" w:type="dxa"/>
          </w:tcPr>
          <w:p w14:paraId="1F466BA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Logistic growth parameter for mosquito population. Choose to match seasonal build-up towards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K_m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0" w:type="dxa"/>
          </w:tcPr>
          <w:p w14:paraId="6B9BEEA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1 per day.</w:t>
            </w:r>
          </w:p>
        </w:tc>
        <w:tc>
          <w:tcPr>
            <w:tcW w:w="800" w:type="dxa"/>
          </w:tcPr>
          <w:p w14:paraId="5820785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0.158</w:t>
            </w:r>
          </w:p>
        </w:tc>
      </w:tr>
      <w:tr w:rsidR="001427BD" w:rsidRPr="003B76C8" w14:paraId="7FAFE5BA" w14:textId="77777777" w:rsidTr="002A7DE8">
        <w:tc>
          <w:tcPr>
            <w:tcW w:w="500" w:type="dxa"/>
          </w:tcPr>
          <w:p w14:paraId="6E3643E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00" w:type="dxa"/>
          </w:tcPr>
          <w:p w14:paraId="32D7B67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K_m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Carrying capacity of mosquitoes</w:t>
            </w:r>
          </w:p>
        </w:tc>
        <w:tc>
          <w:tcPr>
            <w:tcW w:w="4260" w:type="dxa"/>
          </w:tcPr>
          <w:p w14:paraId="1880642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Maximum sustainable mosquito population given environment and breeding sites. Set ≥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based on breeding indices or scenarios.</w:t>
            </w:r>
          </w:p>
        </w:tc>
        <w:tc>
          <w:tcPr>
            <w:tcW w:w="1200" w:type="dxa"/>
          </w:tcPr>
          <w:p w14:paraId="108DF87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Integer ≥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14:paraId="3182BD9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14:paraId="1A0D004B" w14:textId="77777777" w:rsidR="001427BD" w:rsidRPr="003B76C8" w:rsidRDefault="001427B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7FD0EA20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7. Transmission Probabilities &amp; Biting</w:t>
      </w:r>
    </w:p>
    <w:p w14:paraId="0CB2C643" w14:textId="77777777" w:rsidR="001427BD" w:rsidRPr="003B76C8" w:rsidRDefault="00000000">
      <w:pPr>
        <w:spacing w:after="15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444444"/>
          <w:sz w:val="24"/>
          <w:szCs w:val="24"/>
        </w:rPr>
        <w:t>Per-bite transmission probabilities between mosquitoes and each host, plus biting rates.</w:t>
      </w:r>
    </w:p>
    <w:tbl>
      <w:tblPr>
        <w:tblStyle w:val="ListTable4-Accent2"/>
        <w:tblW w:w="9360" w:type="dxa"/>
        <w:tblLook w:val="0620" w:firstRow="1" w:lastRow="0" w:firstColumn="0" w:lastColumn="0" w:noHBand="1" w:noVBand="1"/>
      </w:tblPr>
      <w:tblGrid>
        <w:gridCol w:w="456"/>
        <w:gridCol w:w="2315"/>
        <w:gridCol w:w="3510"/>
        <w:gridCol w:w="2103"/>
        <w:gridCol w:w="976"/>
      </w:tblGrid>
      <w:tr w:rsidR="001427BD" w:rsidRPr="003B76C8" w14:paraId="1146182A" w14:textId="77777777" w:rsidTr="002A7D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" w:type="dxa"/>
          </w:tcPr>
          <w:p w14:paraId="416CBCE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600" w:type="dxa"/>
          </w:tcPr>
          <w:p w14:paraId="0397A51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4260" w:type="dxa"/>
          </w:tcPr>
          <w:p w14:paraId="6BA6100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What to Enter / How to Get It</w:t>
            </w:r>
          </w:p>
        </w:tc>
        <w:tc>
          <w:tcPr>
            <w:tcW w:w="1200" w:type="dxa"/>
          </w:tcPr>
          <w:p w14:paraId="5CC24CE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Range / Format</w:t>
            </w:r>
          </w:p>
        </w:tc>
        <w:tc>
          <w:tcPr>
            <w:tcW w:w="800" w:type="dxa"/>
          </w:tcPr>
          <w:p w14:paraId="250D7B7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</w:tr>
      <w:tr w:rsidR="001427BD" w:rsidRPr="003B76C8" w14:paraId="1B2108CB" w14:textId="77777777" w:rsidTr="002A7DE8">
        <w:tc>
          <w:tcPr>
            <w:tcW w:w="500" w:type="dxa"/>
          </w:tcPr>
          <w:p w14:paraId="4919C2DF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14:paraId="7C55C70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β_</w:t>
            </w: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mp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Mosquito → pig transmission probability</w:t>
            </w:r>
          </w:p>
        </w:tc>
        <w:tc>
          <w:tcPr>
            <w:tcW w:w="4260" w:type="dxa"/>
          </w:tcPr>
          <w:p w14:paraId="01C0D4C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Probability that an infectious mosquito infects a susceptible pig per bite. Use literature values or fit so that model reproduces observed pig incidence.</w:t>
            </w:r>
          </w:p>
        </w:tc>
        <w:tc>
          <w:tcPr>
            <w:tcW w:w="1200" w:type="dxa"/>
          </w:tcPr>
          <w:p w14:paraId="5DAF6E3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per bite.</w:t>
            </w:r>
          </w:p>
        </w:tc>
        <w:tc>
          <w:tcPr>
            <w:tcW w:w="800" w:type="dxa"/>
          </w:tcPr>
          <w:p w14:paraId="2E234BD5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1427BD" w:rsidRPr="003B76C8" w14:paraId="4A83BB23" w14:textId="77777777" w:rsidTr="002A7DE8">
        <w:tc>
          <w:tcPr>
            <w:tcW w:w="500" w:type="dxa"/>
          </w:tcPr>
          <w:p w14:paraId="5D5B0220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600" w:type="dxa"/>
          </w:tcPr>
          <w:p w14:paraId="076D702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β_pm – Pig → mosquito transmission probability</w:t>
            </w:r>
          </w:p>
        </w:tc>
        <w:tc>
          <w:tcPr>
            <w:tcW w:w="4260" w:type="dxa"/>
          </w:tcPr>
          <w:p w14:paraId="0C752D1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Probability that a bite on an infectious pig infects a susceptible mosquito. Choose based on viremia levels and literature for JE.</w:t>
            </w:r>
          </w:p>
        </w:tc>
        <w:tc>
          <w:tcPr>
            <w:tcW w:w="1200" w:type="dxa"/>
          </w:tcPr>
          <w:p w14:paraId="064E99E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per bite.</w:t>
            </w:r>
          </w:p>
        </w:tc>
        <w:tc>
          <w:tcPr>
            <w:tcW w:w="800" w:type="dxa"/>
          </w:tcPr>
          <w:p w14:paraId="1073EE25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1427BD" w:rsidRPr="003B76C8" w14:paraId="1F7FF004" w14:textId="77777777" w:rsidTr="002A7DE8">
        <w:tc>
          <w:tcPr>
            <w:tcW w:w="500" w:type="dxa"/>
          </w:tcPr>
          <w:p w14:paraId="3AAF024F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0" w:type="dxa"/>
          </w:tcPr>
          <w:p w14:paraId="66F86D4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β_</w:t>
            </w: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mh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Mosquito → human transmission probability</w:t>
            </w:r>
          </w:p>
        </w:tc>
        <w:tc>
          <w:tcPr>
            <w:tcW w:w="4260" w:type="dxa"/>
          </w:tcPr>
          <w:p w14:paraId="63865D0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Probability that a bite from an infectious mosquito infects a susceptible human. Key driver of human cases; calibrate to attack rates or literature.</w:t>
            </w:r>
          </w:p>
        </w:tc>
        <w:tc>
          <w:tcPr>
            <w:tcW w:w="1200" w:type="dxa"/>
          </w:tcPr>
          <w:p w14:paraId="34AB632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per bite.</w:t>
            </w:r>
          </w:p>
        </w:tc>
        <w:tc>
          <w:tcPr>
            <w:tcW w:w="800" w:type="dxa"/>
          </w:tcPr>
          <w:p w14:paraId="2E08B7CD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1427BD" w:rsidRPr="003B76C8" w14:paraId="7803D8AA" w14:textId="77777777" w:rsidTr="002A7DE8">
        <w:tc>
          <w:tcPr>
            <w:tcW w:w="500" w:type="dxa"/>
          </w:tcPr>
          <w:p w14:paraId="0A279A4E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0" w:type="dxa"/>
          </w:tcPr>
          <w:p w14:paraId="2C57557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β_hm – Human → mosquito transmission probability</w:t>
            </w:r>
          </w:p>
        </w:tc>
        <w:tc>
          <w:tcPr>
            <w:tcW w:w="4260" w:type="dxa"/>
          </w:tcPr>
          <w:p w14:paraId="2D757EE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Probability that a susceptible mosquito becomes infected when biting an infectious human. Completes the human–mosquito cycle in R₀; calibrate from viremia or literature.</w:t>
            </w:r>
          </w:p>
        </w:tc>
        <w:tc>
          <w:tcPr>
            <w:tcW w:w="1200" w:type="dxa"/>
          </w:tcPr>
          <w:p w14:paraId="0F916BB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per bite.</w:t>
            </w:r>
          </w:p>
        </w:tc>
        <w:tc>
          <w:tcPr>
            <w:tcW w:w="800" w:type="dxa"/>
          </w:tcPr>
          <w:p w14:paraId="58DED7A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1427BD" w:rsidRPr="003B76C8" w14:paraId="590A07A3" w14:textId="77777777" w:rsidTr="002A7DE8">
        <w:tc>
          <w:tcPr>
            <w:tcW w:w="500" w:type="dxa"/>
          </w:tcPr>
          <w:p w14:paraId="469BD809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0" w:type="dxa"/>
          </w:tcPr>
          <w:p w14:paraId="63BBA8D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β_mw – Mosquito → bird transmission probability</w:t>
            </w:r>
          </w:p>
        </w:tc>
        <w:tc>
          <w:tcPr>
            <w:tcW w:w="4260" w:type="dxa"/>
          </w:tcPr>
          <w:p w14:paraId="3149E6B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Probability that an infectious mosquito infects a susceptible wading bird per bite. Use reservoir competence data or literature estimates.</w:t>
            </w:r>
          </w:p>
        </w:tc>
        <w:tc>
          <w:tcPr>
            <w:tcW w:w="1200" w:type="dxa"/>
          </w:tcPr>
          <w:p w14:paraId="7B25292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per bite.</w:t>
            </w:r>
          </w:p>
        </w:tc>
        <w:tc>
          <w:tcPr>
            <w:tcW w:w="800" w:type="dxa"/>
          </w:tcPr>
          <w:p w14:paraId="5BA80D10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1427BD" w:rsidRPr="003B76C8" w14:paraId="66196FA5" w14:textId="77777777" w:rsidTr="002A7DE8">
        <w:tc>
          <w:tcPr>
            <w:tcW w:w="500" w:type="dxa"/>
          </w:tcPr>
          <w:p w14:paraId="70D3D679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0" w:type="dxa"/>
          </w:tcPr>
          <w:p w14:paraId="09D7CD2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β_</w:t>
            </w: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wm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Bird → mosquito transmission probability</w:t>
            </w:r>
          </w:p>
        </w:tc>
        <w:tc>
          <w:tcPr>
            <w:tcW w:w="4260" w:type="dxa"/>
          </w:tcPr>
          <w:p w14:paraId="36E5377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Probability that biting an infectious wading bird infects a susceptible mosquito. Controls strength of bird–mosquito reservoir cycle.</w:t>
            </w:r>
          </w:p>
        </w:tc>
        <w:tc>
          <w:tcPr>
            <w:tcW w:w="1200" w:type="dxa"/>
          </w:tcPr>
          <w:p w14:paraId="128EA1B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per bite.</w:t>
            </w:r>
          </w:p>
        </w:tc>
        <w:tc>
          <w:tcPr>
            <w:tcW w:w="800" w:type="dxa"/>
          </w:tcPr>
          <w:p w14:paraId="04DE7AC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1427BD" w:rsidRPr="003B76C8" w14:paraId="763C634F" w14:textId="77777777" w:rsidTr="002A7DE8">
        <w:tc>
          <w:tcPr>
            <w:tcW w:w="500" w:type="dxa"/>
          </w:tcPr>
          <w:p w14:paraId="78DD0C1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00" w:type="dxa"/>
          </w:tcPr>
          <w:p w14:paraId="5325D7E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 – Biting rate on birds</w:t>
            </w:r>
          </w:p>
        </w:tc>
        <w:tc>
          <w:tcPr>
            <w:tcW w:w="4260" w:type="dxa"/>
          </w:tcPr>
          <w:p w14:paraId="6DD9657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Average number of bites per infectious mosquito per day on susceptible birds. Partition total bites between birds (B) and pigs (C) so that B + C ≈ total biting rate.</w:t>
            </w:r>
          </w:p>
        </w:tc>
        <w:tc>
          <w:tcPr>
            <w:tcW w:w="1200" w:type="dxa"/>
          </w:tcPr>
          <w:p w14:paraId="4816027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5 bites/mosquito/day.</w:t>
            </w:r>
          </w:p>
        </w:tc>
        <w:tc>
          <w:tcPr>
            <w:tcW w:w="800" w:type="dxa"/>
          </w:tcPr>
          <w:p w14:paraId="0F6A25E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</w:tr>
      <w:tr w:rsidR="001427BD" w:rsidRPr="003B76C8" w14:paraId="78F16778" w14:textId="77777777" w:rsidTr="002A7DE8">
        <w:tc>
          <w:tcPr>
            <w:tcW w:w="500" w:type="dxa"/>
          </w:tcPr>
          <w:p w14:paraId="05BAB27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00" w:type="dxa"/>
          </w:tcPr>
          <w:p w14:paraId="665DD7F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 – Biting rate on pigs</w:t>
            </w:r>
          </w:p>
        </w:tc>
        <w:tc>
          <w:tcPr>
            <w:tcW w:w="4260" w:type="dxa"/>
          </w:tcPr>
          <w:p w14:paraId="39343E2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Average number of bites per infectious mosquito per day on susceptible pigs. Choose so that host preference (birds vs pigs) is represented correctly.</w:t>
            </w:r>
          </w:p>
        </w:tc>
        <w:tc>
          <w:tcPr>
            <w:tcW w:w="1200" w:type="dxa"/>
          </w:tcPr>
          <w:p w14:paraId="244078C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5 bites/mosquito/day.</w:t>
            </w:r>
          </w:p>
        </w:tc>
        <w:tc>
          <w:tcPr>
            <w:tcW w:w="800" w:type="dxa"/>
          </w:tcPr>
          <w:p w14:paraId="5866C070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</w:tr>
      <w:tr w:rsidR="001427BD" w:rsidRPr="003B76C8" w14:paraId="1AEFE1A0" w14:textId="77777777" w:rsidTr="002A7DE8">
        <w:tc>
          <w:tcPr>
            <w:tcW w:w="500" w:type="dxa"/>
          </w:tcPr>
          <w:p w14:paraId="601B5E2D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00" w:type="dxa"/>
          </w:tcPr>
          <w:p w14:paraId="14F8E0A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 – Seasonal month for human β(t)</w:t>
            </w:r>
          </w:p>
        </w:tc>
        <w:tc>
          <w:tcPr>
            <w:tcW w:w="4260" w:type="dxa"/>
          </w:tcPr>
          <w:p w14:paraId="2ACF4D9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Month number used in the seasonal human transmission modifier. August is the peak month because φ₀ = 8. β(t) = β₀/2 × [1 + </w:t>
            </w:r>
            <w:proofErr w:type="gram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cos(</w:t>
            </w:r>
            <w:proofErr w:type="gram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2π/T × (t − φ₀))]. With β₀ = 0.0648, T = 12 and φ₀ = 8, β(t) is highest in August and lowest around February.</w:t>
            </w:r>
          </w:p>
        </w:tc>
        <w:tc>
          <w:tcPr>
            <w:tcW w:w="1200" w:type="dxa"/>
          </w:tcPr>
          <w:p w14:paraId="6DE1964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Integer month number from 1 to 12.</w:t>
            </w:r>
          </w:p>
        </w:tc>
        <w:tc>
          <w:tcPr>
            <w:tcW w:w="800" w:type="dxa"/>
          </w:tcPr>
          <w:p w14:paraId="024E8FD0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7FAF8067" w14:textId="77777777" w:rsidR="001427BD" w:rsidRPr="003B76C8" w:rsidRDefault="001427B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0ADDF8FD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lastRenderedPageBreak/>
        <w:t>8. Human Disease Progression &amp; Vaccination</w:t>
      </w:r>
    </w:p>
    <w:p w14:paraId="00A5C846" w14:textId="77777777" w:rsidR="001427BD" w:rsidRPr="003B76C8" w:rsidRDefault="00000000">
      <w:pPr>
        <w:spacing w:after="15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444444"/>
          <w:sz w:val="24"/>
          <w:szCs w:val="24"/>
        </w:rPr>
        <w:t>Governs how a human case moves from asymptomatic through recovery, and how vaccination modifies R₀.</w:t>
      </w:r>
    </w:p>
    <w:tbl>
      <w:tblPr>
        <w:tblStyle w:val="GridTable4-Accent6"/>
        <w:tblW w:w="9360" w:type="dxa"/>
        <w:tblLook w:val="0620" w:firstRow="1" w:lastRow="0" w:firstColumn="0" w:lastColumn="0" w:noHBand="1" w:noVBand="1"/>
      </w:tblPr>
      <w:tblGrid>
        <w:gridCol w:w="486"/>
        <w:gridCol w:w="2305"/>
        <w:gridCol w:w="3417"/>
        <w:gridCol w:w="1796"/>
        <w:gridCol w:w="1356"/>
      </w:tblGrid>
      <w:tr w:rsidR="001427BD" w:rsidRPr="003B76C8" w14:paraId="297E0DBB" w14:textId="77777777" w:rsidTr="002A7D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" w:type="dxa"/>
          </w:tcPr>
          <w:p w14:paraId="7300C80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600" w:type="dxa"/>
          </w:tcPr>
          <w:p w14:paraId="00074B0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4260" w:type="dxa"/>
          </w:tcPr>
          <w:p w14:paraId="32D71D3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What to Enter / How to Get It</w:t>
            </w:r>
          </w:p>
        </w:tc>
        <w:tc>
          <w:tcPr>
            <w:tcW w:w="1200" w:type="dxa"/>
          </w:tcPr>
          <w:p w14:paraId="0189C67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Range / Format</w:t>
            </w:r>
          </w:p>
        </w:tc>
        <w:tc>
          <w:tcPr>
            <w:tcW w:w="800" w:type="dxa"/>
          </w:tcPr>
          <w:p w14:paraId="1D8F9CC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</w:tr>
      <w:tr w:rsidR="001427BD" w:rsidRPr="003B76C8" w14:paraId="7E9CE039" w14:textId="77777777" w:rsidTr="002A7DE8">
        <w:tc>
          <w:tcPr>
            <w:tcW w:w="500" w:type="dxa"/>
          </w:tcPr>
          <w:p w14:paraId="63E18DF2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14:paraId="5F0F584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φ – Progression asymptomatic → symptomatic humans</w:t>
            </w:r>
          </w:p>
        </w:tc>
        <w:tc>
          <w:tcPr>
            <w:tcW w:w="4260" w:type="dxa"/>
          </w:tcPr>
          <w:p w14:paraId="6ABAE91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Rate at which asymptomatic infectious humans become symptomatic infectious. Use 1 / mean pre-symptomatic period (days).</w:t>
            </w:r>
          </w:p>
        </w:tc>
        <w:tc>
          <w:tcPr>
            <w:tcW w:w="1200" w:type="dxa"/>
          </w:tcPr>
          <w:p w14:paraId="1F8D323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0.05 – 1 per day.</w:t>
            </w:r>
          </w:p>
        </w:tc>
        <w:tc>
          <w:tcPr>
            <w:tcW w:w="800" w:type="dxa"/>
          </w:tcPr>
          <w:p w14:paraId="06CCEC9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</w:tr>
      <w:tr w:rsidR="001427BD" w:rsidRPr="003B76C8" w14:paraId="3698F5D9" w14:textId="77777777" w:rsidTr="002A7DE8">
        <w:tc>
          <w:tcPr>
            <w:tcW w:w="500" w:type="dxa"/>
          </w:tcPr>
          <w:p w14:paraId="6352F193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</w:tcPr>
          <w:p w14:paraId="000A92D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σ – JE-specific human death rate</w:t>
            </w:r>
          </w:p>
        </w:tc>
        <w:tc>
          <w:tcPr>
            <w:tcW w:w="4260" w:type="dxa"/>
          </w:tcPr>
          <w:p w14:paraId="30AED31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Additional mortality rate among symptomatic JE patients. Calibrate from case fatality ratio and average disease duration.</w:t>
            </w:r>
          </w:p>
        </w:tc>
        <w:tc>
          <w:tcPr>
            <w:tcW w:w="1200" w:type="dxa"/>
          </w:tcPr>
          <w:p w14:paraId="3DE4BC3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1 per day.</w:t>
            </w:r>
          </w:p>
        </w:tc>
        <w:tc>
          <w:tcPr>
            <w:tcW w:w="800" w:type="dxa"/>
          </w:tcPr>
          <w:p w14:paraId="0B14C36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0.1395</w:t>
            </w:r>
          </w:p>
        </w:tc>
      </w:tr>
      <w:tr w:rsidR="001427BD" w:rsidRPr="003B76C8" w14:paraId="2568D724" w14:textId="77777777" w:rsidTr="002A7DE8">
        <w:tc>
          <w:tcPr>
            <w:tcW w:w="500" w:type="dxa"/>
          </w:tcPr>
          <w:p w14:paraId="251C5ED9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0" w:type="dxa"/>
          </w:tcPr>
          <w:p w14:paraId="4C6F7C9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α₁ – Overall vaccination rate of humans</w:t>
            </w:r>
          </w:p>
        </w:tc>
        <w:tc>
          <w:tcPr>
            <w:tcW w:w="4260" w:type="dxa"/>
          </w:tcPr>
          <w:p w14:paraId="6C0B1A1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Fraction of human recruits entering vaccination stream per day. Estimate from annual JE vaccination coverage / 365.</w:t>
            </w:r>
          </w:p>
        </w:tc>
        <w:tc>
          <w:tcPr>
            <w:tcW w:w="1200" w:type="dxa"/>
          </w:tcPr>
          <w:p w14:paraId="00F607B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per day or fraction.</w:t>
            </w:r>
          </w:p>
        </w:tc>
        <w:tc>
          <w:tcPr>
            <w:tcW w:w="800" w:type="dxa"/>
          </w:tcPr>
          <w:p w14:paraId="79935D22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0.0001096</w:t>
            </w:r>
          </w:p>
        </w:tc>
      </w:tr>
      <w:tr w:rsidR="001427BD" w:rsidRPr="003B76C8" w14:paraId="1A5A593D" w14:textId="77777777" w:rsidTr="002A7DE8">
        <w:tc>
          <w:tcPr>
            <w:tcW w:w="500" w:type="dxa"/>
          </w:tcPr>
          <w:p w14:paraId="421253C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0" w:type="dxa"/>
          </w:tcPr>
          <w:p w14:paraId="5424A8A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u₁ – Fraction going to dose series I</w:t>
            </w:r>
          </w:p>
        </w:tc>
        <w:tc>
          <w:tcPr>
            <w:tcW w:w="4260" w:type="dxa"/>
          </w:tcPr>
          <w:p w14:paraId="1D66BA5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Proportion of vaccinated humans entering V₁ₕ (vs V₂ₕ). Choose 0–1 so that u₁·α₁ matches first-dose pattern.</w:t>
            </w:r>
          </w:p>
        </w:tc>
        <w:tc>
          <w:tcPr>
            <w:tcW w:w="1200" w:type="dxa"/>
          </w:tcPr>
          <w:p w14:paraId="0907E49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(dimensionless).</w:t>
            </w:r>
          </w:p>
        </w:tc>
        <w:tc>
          <w:tcPr>
            <w:tcW w:w="800" w:type="dxa"/>
          </w:tcPr>
          <w:p w14:paraId="0ED8484D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0.00006709</w:t>
            </w:r>
          </w:p>
        </w:tc>
      </w:tr>
      <w:tr w:rsidR="001427BD" w:rsidRPr="003B76C8" w14:paraId="19E37131" w14:textId="77777777" w:rsidTr="002A7DE8">
        <w:tc>
          <w:tcPr>
            <w:tcW w:w="500" w:type="dxa"/>
          </w:tcPr>
          <w:p w14:paraId="171E3388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0" w:type="dxa"/>
          </w:tcPr>
          <w:p w14:paraId="7CABAEF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VE₁ – Protective efficacy of dose series I</w:t>
            </w:r>
          </w:p>
        </w:tc>
        <w:tc>
          <w:tcPr>
            <w:tcW w:w="4260" w:type="dxa"/>
          </w:tcPr>
          <w:p w14:paraId="6164FDC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Protective effectiveness assigned to humans who received JE vaccine dose series I. The effective susceptible contribution of V₁ₕ is (1 − VE₁) × V₁ₕ. Increasing V₁ₕ therefore lowers the displayed R₀ in proportion to VE₁.</w:t>
            </w:r>
          </w:p>
        </w:tc>
        <w:tc>
          <w:tcPr>
            <w:tcW w:w="1200" w:type="dxa"/>
          </w:tcPr>
          <w:p w14:paraId="7A69458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0–1. VE₁ should normally be lower than VE₂.</w:t>
            </w:r>
          </w:p>
        </w:tc>
        <w:tc>
          <w:tcPr>
            <w:tcW w:w="800" w:type="dxa"/>
          </w:tcPr>
          <w:p w14:paraId="339C9A9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 w:rsidR="001427BD" w:rsidRPr="003B76C8" w14:paraId="24B04F0C" w14:textId="77777777" w:rsidTr="002A7DE8">
        <w:tc>
          <w:tcPr>
            <w:tcW w:w="500" w:type="dxa"/>
          </w:tcPr>
          <w:p w14:paraId="457A329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0" w:type="dxa"/>
          </w:tcPr>
          <w:p w14:paraId="7BF3201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VE₂ – Protective efficacy of dose series II</w:t>
            </w:r>
          </w:p>
        </w:tc>
        <w:tc>
          <w:tcPr>
            <w:tcW w:w="4260" w:type="dxa"/>
          </w:tcPr>
          <w:p w14:paraId="3922373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Protective effectiveness assigned to humans who received JE vaccine dose series II. The effective susceptible contribution of V₂ₕ is (1 − VE₂) × V₂ₕ. Because VE₂ is set above VE₁, the same increase in V₂ₕ reduces R₀ more than the same increase in V₁ₕ.</w:t>
            </w:r>
          </w:p>
        </w:tc>
        <w:tc>
          <w:tcPr>
            <w:tcW w:w="1200" w:type="dxa"/>
          </w:tcPr>
          <w:p w14:paraId="70AE242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0–1. Keep VE₂ greater than VE₁ for stronger dose series II protection.</w:t>
            </w:r>
          </w:p>
        </w:tc>
        <w:tc>
          <w:tcPr>
            <w:tcW w:w="800" w:type="dxa"/>
          </w:tcPr>
          <w:p w14:paraId="63ADFC2E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</w:tr>
      <w:tr w:rsidR="001427BD" w:rsidRPr="003B76C8" w14:paraId="6DBAE948" w14:textId="77777777" w:rsidTr="002A7DE8">
        <w:tc>
          <w:tcPr>
            <w:tcW w:w="500" w:type="dxa"/>
          </w:tcPr>
          <w:p w14:paraId="1AD54D23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00" w:type="dxa"/>
          </w:tcPr>
          <w:p w14:paraId="03FD000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ρ₁ – Waning from V₁ₕ → Sₕ</w:t>
            </w:r>
          </w:p>
        </w:tc>
        <w:tc>
          <w:tcPr>
            <w:tcW w:w="4260" w:type="dxa"/>
          </w:tcPr>
          <w:p w14:paraId="1BF6A48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Rate at which immunity from first vaccine series wanes back to susceptible. Use 1 / mean duration of protection after first series.</w:t>
            </w:r>
          </w:p>
        </w:tc>
        <w:tc>
          <w:tcPr>
            <w:tcW w:w="1200" w:type="dxa"/>
          </w:tcPr>
          <w:p w14:paraId="601260F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0.1 per day.</w:t>
            </w:r>
          </w:p>
        </w:tc>
        <w:tc>
          <w:tcPr>
            <w:tcW w:w="800" w:type="dxa"/>
          </w:tcPr>
          <w:p w14:paraId="3C1E33ED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0.00556</w:t>
            </w:r>
          </w:p>
        </w:tc>
      </w:tr>
      <w:tr w:rsidR="001427BD" w:rsidRPr="003B76C8" w14:paraId="2D06C093" w14:textId="77777777" w:rsidTr="002A7DE8">
        <w:tc>
          <w:tcPr>
            <w:tcW w:w="500" w:type="dxa"/>
          </w:tcPr>
          <w:p w14:paraId="3694555C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00" w:type="dxa"/>
          </w:tcPr>
          <w:p w14:paraId="739B7AF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ρ₂ – Waning from V₂ₕ → Sₕ</w:t>
            </w:r>
          </w:p>
        </w:tc>
        <w:tc>
          <w:tcPr>
            <w:tcW w:w="4260" w:type="dxa"/>
          </w:tcPr>
          <w:p w14:paraId="2EC9600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Rate at which booster / second series protection wanes back to susceptible. Usually smaller than ρ₁ (longer protection).</w:t>
            </w:r>
          </w:p>
        </w:tc>
        <w:tc>
          <w:tcPr>
            <w:tcW w:w="1200" w:type="dxa"/>
          </w:tcPr>
          <w:p w14:paraId="7E76922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0.05 per day.</w:t>
            </w:r>
          </w:p>
        </w:tc>
        <w:tc>
          <w:tcPr>
            <w:tcW w:w="800" w:type="dxa"/>
          </w:tcPr>
          <w:p w14:paraId="25D30F82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0.000913</w:t>
            </w:r>
          </w:p>
        </w:tc>
      </w:tr>
      <w:tr w:rsidR="001427BD" w:rsidRPr="003B76C8" w14:paraId="0010A2AB" w14:textId="77777777" w:rsidTr="002A7DE8">
        <w:tc>
          <w:tcPr>
            <w:tcW w:w="500" w:type="dxa"/>
          </w:tcPr>
          <w:p w14:paraId="771692C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00" w:type="dxa"/>
          </w:tcPr>
          <w:p w14:paraId="3809D22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τ₁ – Treatment recovery rate (with medicine)</w:t>
            </w:r>
          </w:p>
        </w:tc>
        <w:tc>
          <w:tcPr>
            <w:tcW w:w="4260" w:type="dxa"/>
          </w:tcPr>
          <w:p w14:paraId="6BD017B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Rate at which treated JE patients move from Iₕ to Rₕ. Use 1 / mean time-to-recovery under treatment.</w:t>
            </w:r>
          </w:p>
        </w:tc>
        <w:tc>
          <w:tcPr>
            <w:tcW w:w="1200" w:type="dxa"/>
          </w:tcPr>
          <w:p w14:paraId="292B3A8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0.05 – 1 per day.</w:t>
            </w:r>
          </w:p>
        </w:tc>
        <w:tc>
          <w:tcPr>
            <w:tcW w:w="800" w:type="dxa"/>
          </w:tcPr>
          <w:p w14:paraId="7A71EFFC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1427BD" w:rsidRPr="003B76C8" w14:paraId="59E2FDB8" w14:textId="77777777" w:rsidTr="002A7DE8">
        <w:tc>
          <w:tcPr>
            <w:tcW w:w="500" w:type="dxa"/>
          </w:tcPr>
          <w:p w14:paraId="193D2103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00" w:type="dxa"/>
          </w:tcPr>
          <w:p w14:paraId="59282DF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τ₂ – Spontaneous recovery rate (without medicine)</w:t>
            </w:r>
          </w:p>
        </w:tc>
        <w:tc>
          <w:tcPr>
            <w:tcW w:w="4260" w:type="dxa"/>
          </w:tcPr>
          <w:p w14:paraId="7578DF0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Rate at which JE patients recover without effective treatment. Use 1 / mean recovery time without specific therapy.</w:t>
            </w:r>
          </w:p>
        </w:tc>
        <w:tc>
          <w:tcPr>
            <w:tcW w:w="1200" w:type="dxa"/>
          </w:tcPr>
          <w:p w14:paraId="3910E5F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1 per day.</w:t>
            </w:r>
          </w:p>
        </w:tc>
        <w:tc>
          <w:tcPr>
            <w:tcW w:w="800" w:type="dxa"/>
          </w:tcPr>
          <w:p w14:paraId="5851EC4C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1427BD" w:rsidRPr="003B76C8" w14:paraId="08A13DC4" w14:textId="77777777" w:rsidTr="002A7DE8">
        <w:tc>
          <w:tcPr>
            <w:tcW w:w="500" w:type="dxa"/>
          </w:tcPr>
          <w:p w14:paraId="742C5B13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00" w:type="dxa"/>
          </w:tcPr>
          <w:p w14:paraId="64AEE2E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1/ηₕ – Mean </w:t>
            </w: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viremic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period in humans (days)</w:t>
            </w:r>
          </w:p>
        </w:tc>
        <w:tc>
          <w:tcPr>
            <w:tcW w:w="4260" w:type="dxa"/>
          </w:tcPr>
          <w:p w14:paraId="2444CE8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Average number of days a JE case remains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viremic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and infectious to mosquitoes. Use clinical / virological data (often 3–7 days).</w:t>
            </w:r>
          </w:p>
        </w:tc>
        <w:tc>
          <w:tcPr>
            <w:tcW w:w="1200" w:type="dxa"/>
          </w:tcPr>
          <w:p w14:paraId="7EB4EE5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Positive number of days.</w:t>
            </w:r>
          </w:p>
        </w:tc>
        <w:tc>
          <w:tcPr>
            <w:tcW w:w="800" w:type="dxa"/>
          </w:tcPr>
          <w:p w14:paraId="7E2911EA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427BD" w:rsidRPr="003B76C8" w14:paraId="4615BD80" w14:textId="77777777" w:rsidTr="002A7DE8">
        <w:tc>
          <w:tcPr>
            <w:tcW w:w="500" w:type="dxa"/>
          </w:tcPr>
          <w:p w14:paraId="2CCB302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00" w:type="dxa"/>
          </w:tcPr>
          <w:p w14:paraId="0A02A7C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 – Effectiveness of medicine</w:t>
            </w:r>
          </w:p>
        </w:tc>
        <w:tc>
          <w:tcPr>
            <w:tcW w:w="4260" w:type="dxa"/>
          </w:tcPr>
          <w:p w14:paraId="22EC2B5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Fraction of infected humans benefiting from treatment in τ₂ term. 0 means no benefit; 1 means full effect.</w:t>
            </w:r>
          </w:p>
        </w:tc>
        <w:tc>
          <w:tcPr>
            <w:tcW w:w="1200" w:type="dxa"/>
          </w:tcPr>
          <w:p w14:paraId="594716C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1.</w:t>
            </w:r>
          </w:p>
        </w:tc>
        <w:tc>
          <w:tcPr>
            <w:tcW w:w="800" w:type="dxa"/>
          </w:tcPr>
          <w:p w14:paraId="17417AEE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</w:tr>
    </w:tbl>
    <w:p w14:paraId="4B13A473" w14:textId="77777777" w:rsidR="001427BD" w:rsidRPr="003B76C8" w:rsidRDefault="001427B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4B98BE85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9. Pig / Bird Control Measures</w:t>
      </w:r>
    </w:p>
    <w:p w14:paraId="3DD1DFFD" w14:textId="77777777" w:rsidR="001427BD" w:rsidRPr="003B76C8" w:rsidRDefault="00000000">
      <w:pPr>
        <w:spacing w:after="15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444444"/>
          <w:sz w:val="24"/>
          <w:szCs w:val="24"/>
        </w:rPr>
        <w:t>Farm- and wetland-level interventions that remove hosts from the susceptible/infectious pool.</w:t>
      </w:r>
    </w:p>
    <w:tbl>
      <w:tblPr>
        <w:tblStyle w:val="ListTable4-Accent6"/>
        <w:tblW w:w="9360" w:type="dxa"/>
        <w:tblLook w:val="0620" w:firstRow="1" w:lastRow="0" w:firstColumn="0" w:lastColumn="0" w:noHBand="1" w:noVBand="1"/>
      </w:tblPr>
      <w:tblGrid>
        <w:gridCol w:w="493"/>
        <w:gridCol w:w="2547"/>
        <w:gridCol w:w="4153"/>
        <w:gridCol w:w="1191"/>
        <w:gridCol w:w="976"/>
      </w:tblGrid>
      <w:tr w:rsidR="001427BD" w:rsidRPr="003B76C8" w14:paraId="14E34EEA" w14:textId="77777777" w:rsidTr="002A7D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" w:type="dxa"/>
          </w:tcPr>
          <w:p w14:paraId="378AC76D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600" w:type="dxa"/>
          </w:tcPr>
          <w:p w14:paraId="6211644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4260" w:type="dxa"/>
          </w:tcPr>
          <w:p w14:paraId="504012A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What to Enter / How to Get It</w:t>
            </w:r>
          </w:p>
        </w:tc>
        <w:tc>
          <w:tcPr>
            <w:tcW w:w="1200" w:type="dxa"/>
          </w:tcPr>
          <w:p w14:paraId="4517EF2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Range / Format</w:t>
            </w:r>
          </w:p>
        </w:tc>
        <w:tc>
          <w:tcPr>
            <w:tcW w:w="800" w:type="dxa"/>
          </w:tcPr>
          <w:p w14:paraId="423F63C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</w:tr>
      <w:tr w:rsidR="001427BD" w:rsidRPr="003B76C8" w14:paraId="0DBAA30E" w14:textId="77777777" w:rsidTr="002A7DE8">
        <w:tc>
          <w:tcPr>
            <w:tcW w:w="500" w:type="dxa"/>
          </w:tcPr>
          <w:p w14:paraId="6F573262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14:paraId="7F34CF7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α₂ – Pig treatment rate</w:t>
            </w:r>
          </w:p>
        </w:tc>
        <w:tc>
          <w:tcPr>
            <w:tcW w:w="4260" w:type="dxa"/>
          </w:tcPr>
          <w:p w14:paraId="2807D76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Rate at which infectious pigs are successfully treated and move back to susceptible class. Use 1 / mean duration of treatment in pigs where JE control is applied.</w:t>
            </w:r>
          </w:p>
        </w:tc>
        <w:tc>
          <w:tcPr>
            <w:tcW w:w="1200" w:type="dxa"/>
          </w:tcPr>
          <w:p w14:paraId="4FE070A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1 per day.</w:t>
            </w:r>
          </w:p>
        </w:tc>
        <w:tc>
          <w:tcPr>
            <w:tcW w:w="800" w:type="dxa"/>
          </w:tcPr>
          <w:p w14:paraId="704E7A6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</w:tr>
      <w:tr w:rsidR="001427BD" w:rsidRPr="003B76C8" w14:paraId="2B5024AA" w14:textId="77777777" w:rsidTr="002A7DE8">
        <w:tc>
          <w:tcPr>
            <w:tcW w:w="500" w:type="dxa"/>
          </w:tcPr>
          <w:p w14:paraId="4C0DF74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</w:tcPr>
          <w:p w14:paraId="4ED4123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εₚ – Pig biosecurity rate</w:t>
            </w:r>
          </w:p>
        </w:tc>
        <w:tc>
          <w:tcPr>
            <w:tcW w:w="4260" w:type="dxa"/>
          </w:tcPr>
          <w:p w14:paraId="38CAD2D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Rate at which susceptible pigs move into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biosecured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compartment Bₚ. Higher εₚ means faster implementation of biosecurity on farms.</w:t>
            </w:r>
          </w:p>
        </w:tc>
        <w:tc>
          <w:tcPr>
            <w:tcW w:w="1200" w:type="dxa"/>
          </w:tcPr>
          <w:p w14:paraId="58086C2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per day.</w:t>
            </w:r>
          </w:p>
        </w:tc>
        <w:tc>
          <w:tcPr>
            <w:tcW w:w="800" w:type="dxa"/>
          </w:tcPr>
          <w:p w14:paraId="562A2EBE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0.0083</w:t>
            </w:r>
          </w:p>
        </w:tc>
      </w:tr>
      <w:tr w:rsidR="001427BD" w:rsidRPr="003B76C8" w14:paraId="03BAEF23" w14:textId="77777777" w:rsidTr="002A7DE8">
        <w:tc>
          <w:tcPr>
            <w:tcW w:w="500" w:type="dxa"/>
          </w:tcPr>
          <w:p w14:paraId="3C9B47FA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0" w:type="dxa"/>
          </w:tcPr>
          <w:p w14:paraId="2C2520D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ε_w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Bird barrier rate</w:t>
            </w:r>
          </w:p>
        </w:tc>
        <w:tc>
          <w:tcPr>
            <w:tcW w:w="4260" w:type="dxa"/>
          </w:tcPr>
          <w:p w14:paraId="27694B2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Rate at which susceptible wading birds move into barrier compartment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B_w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 Represents speed/strength of bird barrier interventions.</w:t>
            </w:r>
          </w:p>
        </w:tc>
        <w:tc>
          <w:tcPr>
            <w:tcW w:w="1200" w:type="dxa"/>
          </w:tcPr>
          <w:p w14:paraId="0D74940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per day.</w:t>
            </w:r>
          </w:p>
        </w:tc>
        <w:tc>
          <w:tcPr>
            <w:tcW w:w="800" w:type="dxa"/>
          </w:tcPr>
          <w:p w14:paraId="4C5F6BE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</w:tbl>
    <w:p w14:paraId="3574B502" w14:textId="77777777" w:rsidR="001427BD" w:rsidRPr="003B76C8" w:rsidRDefault="001427B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5950D668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10. Environment &amp; Biting-Rate Modifier</w:t>
      </w:r>
    </w:p>
    <w:p w14:paraId="0D3E34F7" w14:textId="77777777" w:rsidR="001427BD" w:rsidRPr="003B76C8" w:rsidRDefault="00000000">
      <w:pPr>
        <w:spacing w:after="15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444444"/>
          <w:sz w:val="24"/>
          <w:szCs w:val="24"/>
        </w:rPr>
        <w:t>Ambient temperature drives the temperature-dependent biting rate b(T) used throughout the model.</w:t>
      </w:r>
    </w:p>
    <w:tbl>
      <w:tblPr>
        <w:tblStyle w:val="ListTable3-Accent2"/>
        <w:tblW w:w="9360" w:type="dxa"/>
        <w:tblLook w:val="0620" w:firstRow="1" w:lastRow="0" w:firstColumn="0" w:lastColumn="0" w:noHBand="1" w:noVBand="1"/>
      </w:tblPr>
      <w:tblGrid>
        <w:gridCol w:w="453"/>
        <w:gridCol w:w="2310"/>
        <w:gridCol w:w="3518"/>
        <w:gridCol w:w="2103"/>
        <w:gridCol w:w="976"/>
      </w:tblGrid>
      <w:tr w:rsidR="001427BD" w:rsidRPr="003B76C8" w14:paraId="5E12EF8F" w14:textId="77777777" w:rsidTr="002A7D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" w:type="dxa"/>
          </w:tcPr>
          <w:p w14:paraId="2682B1C3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#</w:t>
            </w:r>
          </w:p>
        </w:tc>
        <w:tc>
          <w:tcPr>
            <w:tcW w:w="2600" w:type="dxa"/>
          </w:tcPr>
          <w:p w14:paraId="7EEA4AF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4260" w:type="dxa"/>
          </w:tcPr>
          <w:p w14:paraId="7D4C0B9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What to Enter / How to Get It</w:t>
            </w:r>
          </w:p>
        </w:tc>
        <w:tc>
          <w:tcPr>
            <w:tcW w:w="1200" w:type="dxa"/>
          </w:tcPr>
          <w:p w14:paraId="6964F8D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Range / Format</w:t>
            </w:r>
          </w:p>
        </w:tc>
        <w:tc>
          <w:tcPr>
            <w:tcW w:w="800" w:type="dxa"/>
          </w:tcPr>
          <w:p w14:paraId="61AA51D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</w:tr>
      <w:tr w:rsidR="001427BD" w:rsidRPr="003B76C8" w14:paraId="4D59F5C5" w14:textId="77777777" w:rsidTr="002A7DE8">
        <w:tc>
          <w:tcPr>
            <w:tcW w:w="500" w:type="dxa"/>
          </w:tcPr>
          <w:p w14:paraId="177D393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14:paraId="3A08948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 – Ambient temperature (°C)</w:t>
            </w:r>
          </w:p>
        </w:tc>
        <w:tc>
          <w:tcPr>
            <w:tcW w:w="4260" w:type="dxa"/>
          </w:tcPr>
          <w:p w14:paraId="7637A71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Environmental temperature affecting mosquito biting rate b(T). Use representative daily / seasonal mean for the location.</w:t>
            </w:r>
          </w:p>
        </w:tc>
        <w:tc>
          <w:tcPr>
            <w:tcW w:w="1200" w:type="dxa"/>
          </w:tcPr>
          <w:p w14:paraId="5011C3D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45 °C.</w:t>
            </w:r>
          </w:p>
        </w:tc>
        <w:tc>
          <w:tcPr>
            <w:tcW w:w="800" w:type="dxa"/>
          </w:tcPr>
          <w:p w14:paraId="54940393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1427BD" w:rsidRPr="003B76C8" w14:paraId="55D7E134" w14:textId="77777777" w:rsidTr="002A7DE8">
        <w:tc>
          <w:tcPr>
            <w:tcW w:w="500" w:type="dxa"/>
          </w:tcPr>
          <w:p w14:paraId="0F36587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</w:tcPr>
          <w:p w14:paraId="32EC952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T₀ – Temperature of maximum biting</w:t>
            </w:r>
          </w:p>
        </w:tc>
        <w:tc>
          <w:tcPr>
            <w:tcW w:w="4260" w:type="dxa"/>
          </w:tcPr>
          <w:p w14:paraId="39232E1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Reference temperature at which biting rate b(T) is maximal. Choose typical warm-season optimal temperature from literature (e.g. 25–30 °C).</w:t>
            </w:r>
          </w:p>
        </w:tc>
        <w:tc>
          <w:tcPr>
            <w:tcW w:w="1200" w:type="dxa"/>
          </w:tcPr>
          <w:p w14:paraId="15AD282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15 – 40 °C.</w:t>
            </w:r>
          </w:p>
        </w:tc>
        <w:tc>
          <w:tcPr>
            <w:tcW w:w="800" w:type="dxa"/>
          </w:tcPr>
          <w:p w14:paraId="2EE9AE7E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1427BD" w:rsidRPr="003B76C8" w14:paraId="5A09CEC0" w14:textId="77777777" w:rsidTr="002A7DE8">
        <w:tc>
          <w:tcPr>
            <w:tcW w:w="500" w:type="dxa"/>
          </w:tcPr>
          <w:p w14:paraId="55E7620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0" w:type="dxa"/>
          </w:tcPr>
          <w:p w14:paraId="28A89417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b₀ – Biting rate at T₀</w:t>
            </w:r>
          </w:p>
        </w:tc>
        <w:tc>
          <w:tcPr>
            <w:tcW w:w="4260" w:type="dxa"/>
          </w:tcPr>
          <w:p w14:paraId="6645FF4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Maximum daily biting rate per mosquito at temperature T₀. Use entomological estimates (e.g., 0.2–1 </w:t>
            </w:r>
            <w:proofErr w:type="gram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bites</w:t>
            </w:r>
            <w:proofErr w:type="gram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per mosquito per day).</w:t>
            </w:r>
          </w:p>
        </w:tc>
        <w:tc>
          <w:tcPr>
            <w:tcW w:w="1200" w:type="dxa"/>
          </w:tcPr>
          <w:p w14:paraId="265E7D1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Typical 0 – 5 bites/mosquito/day.</w:t>
            </w:r>
          </w:p>
        </w:tc>
        <w:tc>
          <w:tcPr>
            <w:tcW w:w="800" w:type="dxa"/>
          </w:tcPr>
          <w:p w14:paraId="11F0B2D8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0.261</w:t>
            </w:r>
          </w:p>
        </w:tc>
      </w:tr>
    </w:tbl>
    <w:p w14:paraId="454D8420" w14:textId="77777777" w:rsidR="001427BD" w:rsidRPr="003B76C8" w:rsidRDefault="001427B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49D29A70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11. Contact Module — Village / District Mixing</w:t>
      </w:r>
    </w:p>
    <w:p w14:paraId="2F7B9A39" w14:textId="77777777" w:rsidR="001427BD" w:rsidRPr="003B76C8" w:rsidRDefault="00000000">
      <w:pPr>
        <w:spacing w:after="15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444444"/>
          <w:sz w:val="24"/>
          <w:szCs w:val="24"/>
        </w:rPr>
        <w:t>Optional module that scales contact pressure by local mixing intensity (village) or by host density and neighbouring-district spillover (district).</w:t>
      </w:r>
    </w:p>
    <w:tbl>
      <w:tblPr>
        <w:tblStyle w:val="ListTable4-Accent5"/>
        <w:tblW w:w="9360" w:type="dxa"/>
        <w:tblLook w:val="0620" w:firstRow="1" w:lastRow="0" w:firstColumn="0" w:lastColumn="0" w:noHBand="1" w:noVBand="1"/>
      </w:tblPr>
      <w:tblGrid>
        <w:gridCol w:w="494"/>
        <w:gridCol w:w="2528"/>
        <w:gridCol w:w="3979"/>
        <w:gridCol w:w="1383"/>
        <w:gridCol w:w="976"/>
      </w:tblGrid>
      <w:tr w:rsidR="001427BD" w:rsidRPr="003B76C8" w14:paraId="7FDE452A" w14:textId="77777777" w:rsidTr="002A7D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" w:type="dxa"/>
          </w:tcPr>
          <w:p w14:paraId="33D846E3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600" w:type="dxa"/>
          </w:tcPr>
          <w:p w14:paraId="0B24459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4260" w:type="dxa"/>
          </w:tcPr>
          <w:p w14:paraId="098D69A7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What to Enter / How to Get It</w:t>
            </w:r>
          </w:p>
        </w:tc>
        <w:tc>
          <w:tcPr>
            <w:tcW w:w="1200" w:type="dxa"/>
          </w:tcPr>
          <w:p w14:paraId="111AD1F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Range / Format</w:t>
            </w:r>
          </w:p>
        </w:tc>
        <w:tc>
          <w:tcPr>
            <w:tcW w:w="800" w:type="dxa"/>
          </w:tcPr>
          <w:p w14:paraId="4CF576E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</w:tr>
      <w:tr w:rsidR="001427BD" w:rsidRPr="003B76C8" w14:paraId="2B375647" w14:textId="77777777" w:rsidTr="002A7DE8">
        <w:tc>
          <w:tcPr>
            <w:tcW w:w="500" w:type="dxa"/>
          </w:tcPr>
          <w:p w14:paraId="0D105BA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14:paraId="47984DF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Use contact modifier (Village/District mixing)</w:t>
            </w:r>
          </w:p>
        </w:tc>
        <w:tc>
          <w:tcPr>
            <w:tcW w:w="4260" w:type="dxa"/>
          </w:tcPr>
          <w:p w14:paraId="38F3B6B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Turns ON/OFF the JE contact module. When OFF, the model uses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contactScale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= 1 (no village/district scaling). Keep ON if you want district/village contact to influence R₀ and transmission. Turn OFF to compare with baseline mixing.</w:t>
            </w:r>
          </w:p>
        </w:tc>
        <w:tc>
          <w:tcPr>
            <w:tcW w:w="1200" w:type="dxa"/>
          </w:tcPr>
          <w:p w14:paraId="78B5C7A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Checkbox.</w:t>
            </w:r>
          </w:p>
        </w:tc>
        <w:tc>
          <w:tcPr>
            <w:tcW w:w="800" w:type="dxa"/>
          </w:tcPr>
          <w:p w14:paraId="70BA03F9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2CDA96D3" w14:textId="77777777" w:rsidTr="002A7DE8">
        <w:tc>
          <w:tcPr>
            <w:tcW w:w="500" w:type="dxa"/>
          </w:tcPr>
          <w:p w14:paraId="04F5AE2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</w:tcPr>
          <w:p w14:paraId="60269EC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Contact level: Village vs District</w:t>
            </w:r>
          </w:p>
        </w:tc>
        <w:tc>
          <w:tcPr>
            <w:tcW w:w="4260" w:type="dxa"/>
          </w:tcPr>
          <w:p w14:paraId="44A704C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Chooses how contact pressure is computed for JE transmission. Village: Nc/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Ntot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(close-contact fraction). District: mosquito contact pressure (CRᵐ) derived from neighbours + density scaling.</w:t>
            </w:r>
          </w:p>
        </w:tc>
        <w:tc>
          <w:tcPr>
            <w:tcW w:w="1200" w:type="dxa"/>
          </w:tcPr>
          <w:p w14:paraId="566E114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Village or District.</w:t>
            </w:r>
          </w:p>
        </w:tc>
        <w:tc>
          <w:tcPr>
            <w:tcW w:w="800" w:type="dxa"/>
          </w:tcPr>
          <w:p w14:paraId="57993D89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4F0BAAA8" w14:textId="77777777" w:rsidTr="002A7DE8">
        <w:tc>
          <w:tcPr>
            <w:tcW w:w="500" w:type="dxa"/>
          </w:tcPr>
          <w:p w14:paraId="58D8DF43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0" w:type="dxa"/>
          </w:tcPr>
          <w:p w14:paraId="12F9F98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Nc – Close-contact population (village)</w:t>
            </w:r>
          </w:p>
        </w:tc>
        <w:tc>
          <w:tcPr>
            <w:tcW w:w="4260" w:type="dxa"/>
          </w:tcPr>
          <w:p w14:paraId="1AE6E1B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Number of humans/animals with JE-relevant close contact (e.g., near pigs/paddy fields). Enter the subgroup with higher mosquito exposure. Used to compute village contact rate = Nc/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Ntot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0" w:type="dxa"/>
          </w:tcPr>
          <w:p w14:paraId="266D5D3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Ntot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0" w:type="dxa"/>
          </w:tcPr>
          <w:p w14:paraId="4C9D712D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427BD" w:rsidRPr="003B76C8" w14:paraId="0507F54A" w14:textId="77777777" w:rsidTr="002A7DE8">
        <w:tc>
          <w:tcPr>
            <w:tcW w:w="500" w:type="dxa"/>
          </w:tcPr>
          <w:p w14:paraId="0D9ECAAC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0" w:type="dxa"/>
          </w:tcPr>
          <w:p w14:paraId="1FD1E19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Ntot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Total at-risk population (village)</w:t>
            </w:r>
          </w:p>
        </w:tc>
        <w:tc>
          <w:tcPr>
            <w:tcW w:w="4260" w:type="dxa"/>
          </w:tcPr>
          <w:p w14:paraId="51C7D457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Total humans/animals in the village considered at risk for JE exposure. Used with Nc to compute village contact rate = Nc/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Ntot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0" w:type="dxa"/>
          </w:tcPr>
          <w:p w14:paraId="7A29E4D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1.</w:t>
            </w:r>
          </w:p>
        </w:tc>
        <w:tc>
          <w:tcPr>
            <w:tcW w:w="800" w:type="dxa"/>
          </w:tcPr>
          <w:p w14:paraId="343C369D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1427BD" w:rsidRPr="003B76C8" w14:paraId="08B0D881" w14:textId="77777777" w:rsidTr="002A7DE8">
        <w:tc>
          <w:tcPr>
            <w:tcW w:w="500" w:type="dxa"/>
          </w:tcPr>
          <w:p w14:paraId="1D59B99A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600" w:type="dxa"/>
          </w:tcPr>
          <w:p w14:paraId="163218B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Village contact rate (Nc/</w:t>
            </w: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Ntot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260" w:type="dxa"/>
          </w:tcPr>
          <w:p w14:paraId="1AEC1C0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Computed village-level contact fraction used as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contactScale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in Village mode. Auto-calculated as Nc /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Ntot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and capped to [0,1].</w:t>
            </w:r>
          </w:p>
        </w:tc>
        <w:tc>
          <w:tcPr>
            <w:tcW w:w="1200" w:type="dxa"/>
          </w:tcPr>
          <w:p w14:paraId="6EFBD457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(read-only).</w:t>
            </w:r>
          </w:p>
        </w:tc>
        <w:tc>
          <w:tcPr>
            <w:tcW w:w="800" w:type="dxa"/>
          </w:tcPr>
          <w:p w14:paraId="4E0DF65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</w:tr>
      <w:tr w:rsidR="001427BD" w:rsidRPr="003B76C8" w14:paraId="55DC23B5" w14:textId="77777777" w:rsidTr="002A7DE8">
        <w:tc>
          <w:tcPr>
            <w:tcW w:w="500" w:type="dxa"/>
          </w:tcPr>
          <w:p w14:paraId="036E7F5E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0" w:type="dxa"/>
          </w:tcPr>
          <w:p w14:paraId="4118FCF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District density (animals/km²)</w:t>
            </w:r>
          </w:p>
        </w:tc>
        <w:tc>
          <w:tcPr>
            <w:tcW w:w="4260" w:type="dxa"/>
          </w:tcPr>
          <w:p w14:paraId="76AD2B9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Host density scaling used to compute α_JE for district contact pressure. α_JE = (Density /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RefDensity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) × M. Higher density increases district contact pressure (CR).</w:t>
            </w:r>
          </w:p>
        </w:tc>
        <w:tc>
          <w:tcPr>
            <w:tcW w:w="1200" w:type="dxa"/>
          </w:tcPr>
          <w:p w14:paraId="6C6EA2A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0.</w:t>
            </w:r>
          </w:p>
        </w:tc>
        <w:tc>
          <w:tcPr>
            <w:tcW w:w="800" w:type="dxa"/>
          </w:tcPr>
          <w:p w14:paraId="6B632700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1427BD" w:rsidRPr="003B76C8" w14:paraId="7C9BBE14" w14:textId="77777777" w:rsidTr="002A7DE8">
        <w:tc>
          <w:tcPr>
            <w:tcW w:w="500" w:type="dxa"/>
          </w:tcPr>
          <w:p w14:paraId="7952C891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00" w:type="dxa"/>
          </w:tcPr>
          <w:p w14:paraId="77E55F8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 density (animals/km²)</w:t>
            </w:r>
          </w:p>
        </w:tc>
        <w:tc>
          <w:tcPr>
            <w:tcW w:w="4260" w:type="dxa"/>
          </w:tcPr>
          <w:p w14:paraId="358DC96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Baseline density used to normalize district density. Set to long-term average or state mean density so α_JE stays interpretable.</w:t>
            </w:r>
          </w:p>
        </w:tc>
        <w:tc>
          <w:tcPr>
            <w:tcW w:w="1200" w:type="dxa"/>
          </w:tcPr>
          <w:p w14:paraId="1B736F4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&gt; 0.</w:t>
            </w:r>
          </w:p>
        </w:tc>
        <w:tc>
          <w:tcPr>
            <w:tcW w:w="800" w:type="dxa"/>
          </w:tcPr>
          <w:p w14:paraId="36808C8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1427BD" w:rsidRPr="003B76C8" w14:paraId="528C558A" w14:textId="77777777" w:rsidTr="002A7DE8">
        <w:tc>
          <w:tcPr>
            <w:tcW w:w="500" w:type="dxa"/>
          </w:tcPr>
          <w:p w14:paraId="7DD7F77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00" w:type="dxa"/>
          </w:tcPr>
          <w:p w14:paraId="613D167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 – Mobility/exposure modifier</w:t>
            </w:r>
          </w:p>
        </w:tc>
        <w:tc>
          <w:tcPr>
            <w:tcW w:w="4260" w:type="dxa"/>
          </w:tcPr>
          <w:p w14:paraId="7F93169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Extra scaling (0–1) capturing mobility, paddy coverage, irrigation exposure, etc. Increase towards 1 for higher movement/exposure; lower for contained settings.</w:t>
            </w:r>
          </w:p>
        </w:tc>
        <w:tc>
          <w:tcPr>
            <w:tcW w:w="1200" w:type="dxa"/>
          </w:tcPr>
          <w:p w14:paraId="48D760E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1.</w:t>
            </w:r>
          </w:p>
        </w:tc>
        <w:tc>
          <w:tcPr>
            <w:tcW w:w="800" w:type="dxa"/>
          </w:tcPr>
          <w:p w14:paraId="09AD25B5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1427BD" w:rsidRPr="003B76C8" w14:paraId="39561CB1" w14:textId="77777777" w:rsidTr="002A7DE8">
        <w:tc>
          <w:tcPr>
            <w:tcW w:w="500" w:type="dxa"/>
          </w:tcPr>
          <w:p w14:paraId="6CBA5F3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00" w:type="dxa"/>
          </w:tcPr>
          <w:p w14:paraId="44E43AF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αJE – Density scaling factor</w:t>
            </w:r>
          </w:p>
        </w:tc>
        <w:tc>
          <w:tcPr>
            <w:tcW w:w="4260" w:type="dxa"/>
          </w:tcPr>
          <w:p w14:paraId="02B6079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Scales district contact pressure based on local host density and mobility/exposure. αJE = (Density /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RefDensity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) × M. Higher density or higher M increases αJE and therefore CRᵖ/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CRʷ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/CRᵐ and λₕ(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200" w:type="dxa"/>
          </w:tcPr>
          <w:p w14:paraId="1C4E161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0 (computed).</w:t>
            </w:r>
          </w:p>
        </w:tc>
        <w:tc>
          <w:tcPr>
            <w:tcW w:w="800" w:type="dxa"/>
          </w:tcPr>
          <w:p w14:paraId="7AB2D303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528DD16B" w14:textId="77777777" w:rsidTr="002A7DE8">
        <w:tc>
          <w:tcPr>
            <w:tcW w:w="500" w:type="dxa"/>
          </w:tcPr>
          <w:p w14:paraId="37977CD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00" w:type="dxa"/>
          </w:tcPr>
          <w:p w14:paraId="499DAD2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CRᵖ – Pig district contact pressure</w:t>
            </w:r>
          </w:p>
        </w:tc>
        <w:tc>
          <w:tcPr>
            <w:tcW w:w="4260" w:type="dxa"/>
          </w:tcPr>
          <w:p w14:paraId="4107C77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Pig-side contact pressure contributed by neighbouring interfaces (0–1). CRᵖ = clamp01(αJE × Σ wᵢⱼ × (Iₚ/Nₚ)). Higher infected fraction or higher wᵢⱼ increases CRᵖ.</w:t>
            </w:r>
          </w:p>
        </w:tc>
        <w:tc>
          <w:tcPr>
            <w:tcW w:w="1200" w:type="dxa"/>
          </w:tcPr>
          <w:p w14:paraId="627B2EF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(computed).</w:t>
            </w:r>
          </w:p>
        </w:tc>
        <w:tc>
          <w:tcPr>
            <w:tcW w:w="800" w:type="dxa"/>
          </w:tcPr>
          <w:p w14:paraId="2AC494D1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17847393" w14:textId="77777777" w:rsidTr="002A7DE8">
        <w:tc>
          <w:tcPr>
            <w:tcW w:w="500" w:type="dxa"/>
          </w:tcPr>
          <w:p w14:paraId="25A7D841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00" w:type="dxa"/>
          </w:tcPr>
          <w:p w14:paraId="331FFC0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CRʷ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Wading bird contact pressure</w:t>
            </w:r>
          </w:p>
        </w:tc>
        <w:tc>
          <w:tcPr>
            <w:tcW w:w="4260" w:type="dxa"/>
          </w:tcPr>
          <w:p w14:paraId="6D15284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Bird-side contact pressure from neighbouring interfaces (0–1).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CRʷ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= clamp01(αJE × Σ wᵢⱼ × (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)).</w:t>
            </w:r>
          </w:p>
        </w:tc>
        <w:tc>
          <w:tcPr>
            <w:tcW w:w="1200" w:type="dxa"/>
          </w:tcPr>
          <w:p w14:paraId="5FB8314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(computed).</w:t>
            </w:r>
          </w:p>
        </w:tc>
        <w:tc>
          <w:tcPr>
            <w:tcW w:w="800" w:type="dxa"/>
          </w:tcPr>
          <w:p w14:paraId="38470480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49810ABF" w14:textId="77777777" w:rsidTr="002A7DE8">
        <w:tc>
          <w:tcPr>
            <w:tcW w:w="500" w:type="dxa"/>
          </w:tcPr>
          <w:p w14:paraId="4F529668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00" w:type="dxa"/>
          </w:tcPr>
          <w:p w14:paraId="2E6102F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CRᵐ – Mosquito contact pressure</w:t>
            </w:r>
          </w:p>
        </w:tc>
        <w:tc>
          <w:tcPr>
            <w:tcW w:w="4260" w:type="dxa"/>
          </w:tcPr>
          <w:p w14:paraId="5ABBF99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Mosquito-side contact pressure from neighbouring interfaces (0–1). CRᵐ = clamp01(αJE × Σ wᵢⱼ × (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)). Drives λₕ(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) and affects R₀ in district mode.</w:t>
            </w:r>
          </w:p>
        </w:tc>
        <w:tc>
          <w:tcPr>
            <w:tcW w:w="1200" w:type="dxa"/>
          </w:tcPr>
          <w:p w14:paraId="7862648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 (computed).</w:t>
            </w:r>
          </w:p>
        </w:tc>
        <w:tc>
          <w:tcPr>
            <w:tcW w:w="800" w:type="dxa"/>
          </w:tcPr>
          <w:p w14:paraId="71B8617E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0AFFC7DE" w14:textId="77777777" w:rsidTr="002A7DE8">
        <w:tc>
          <w:tcPr>
            <w:tcW w:w="500" w:type="dxa"/>
          </w:tcPr>
          <w:p w14:paraId="7686117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00" w:type="dxa"/>
          </w:tcPr>
          <w:p w14:paraId="1059A28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λₕ(</w:t>
            </w: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– Human JE hazard (district)</w:t>
            </w:r>
          </w:p>
        </w:tc>
        <w:tc>
          <w:tcPr>
            <w:tcW w:w="4260" w:type="dxa"/>
          </w:tcPr>
          <w:p w14:paraId="59BDF9A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Mosquito-driven force of infection on humans in district mode. Computed as λₕ(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) = βₘₕ × b(T) × CRᵐ(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). This affects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contactScale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used in R₀ and transmission.</w:t>
            </w:r>
          </w:p>
        </w:tc>
        <w:tc>
          <w:tcPr>
            <w:tcW w:w="1200" w:type="dxa"/>
          </w:tcPr>
          <w:p w14:paraId="681E595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0 (read-only).</w:t>
            </w:r>
          </w:p>
        </w:tc>
        <w:tc>
          <w:tcPr>
            <w:tcW w:w="800" w:type="dxa"/>
          </w:tcPr>
          <w:p w14:paraId="6F57811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</w:tr>
    </w:tbl>
    <w:p w14:paraId="11A33CD5" w14:textId="77777777" w:rsidR="001427BD" w:rsidRPr="003B76C8" w:rsidRDefault="001427B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3E617F29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12. Neighbouring District / Interface Inputs (District Mode)</w:t>
      </w:r>
    </w:p>
    <w:p w14:paraId="3D58222F" w14:textId="77777777" w:rsidR="001427BD" w:rsidRPr="003B76C8" w:rsidRDefault="00000000">
      <w:pPr>
        <w:spacing w:after="15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444444"/>
          <w:sz w:val="24"/>
          <w:szCs w:val="24"/>
        </w:rPr>
        <w:lastRenderedPageBreak/>
        <w:t>Repeat this block for each neighbouring district or trade/ecological interface; add rows with “Add neighbour”.</w:t>
      </w:r>
    </w:p>
    <w:tbl>
      <w:tblPr>
        <w:tblStyle w:val="ListTable3-Accent2"/>
        <w:tblW w:w="9360" w:type="dxa"/>
        <w:tblLook w:val="0620" w:firstRow="1" w:lastRow="0" w:firstColumn="0" w:lastColumn="0" w:noHBand="1" w:noVBand="1"/>
      </w:tblPr>
      <w:tblGrid>
        <w:gridCol w:w="496"/>
        <w:gridCol w:w="2474"/>
        <w:gridCol w:w="4031"/>
        <w:gridCol w:w="1383"/>
        <w:gridCol w:w="976"/>
      </w:tblGrid>
      <w:tr w:rsidR="001427BD" w:rsidRPr="003B76C8" w14:paraId="6F924E9F" w14:textId="77777777" w:rsidTr="002A7D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" w:type="dxa"/>
          </w:tcPr>
          <w:p w14:paraId="79243A31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600" w:type="dxa"/>
          </w:tcPr>
          <w:p w14:paraId="7DD950D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4260" w:type="dxa"/>
          </w:tcPr>
          <w:p w14:paraId="14FEA59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What to Enter / How to Get It</w:t>
            </w:r>
          </w:p>
        </w:tc>
        <w:tc>
          <w:tcPr>
            <w:tcW w:w="1200" w:type="dxa"/>
          </w:tcPr>
          <w:p w14:paraId="0822695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Range / Format</w:t>
            </w:r>
          </w:p>
        </w:tc>
        <w:tc>
          <w:tcPr>
            <w:tcW w:w="800" w:type="dxa"/>
          </w:tcPr>
          <w:p w14:paraId="2B301B4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Default</w:t>
            </w:r>
          </w:p>
        </w:tc>
      </w:tr>
      <w:tr w:rsidR="001427BD" w:rsidRPr="003B76C8" w14:paraId="4ADA9875" w14:textId="77777777" w:rsidTr="002A7DE8">
        <w:tc>
          <w:tcPr>
            <w:tcW w:w="500" w:type="dxa"/>
          </w:tcPr>
          <w:p w14:paraId="5ADF2AF0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0" w:type="dxa"/>
          </w:tcPr>
          <w:p w14:paraId="3E7F18B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Neighbour / Interface name</w:t>
            </w:r>
          </w:p>
        </w:tc>
        <w:tc>
          <w:tcPr>
            <w:tcW w:w="4260" w:type="dxa"/>
          </w:tcPr>
          <w:p w14:paraId="2CE43B6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Label for the interface (e.g., Neighbour 1, Wetland belt, Trade corridor). Name is only for readability.</w:t>
            </w:r>
          </w:p>
        </w:tc>
        <w:tc>
          <w:tcPr>
            <w:tcW w:w="1200" w:type="dxa"/>
          </w:tcPr>
          <w:p w14:paraId="4AC7180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Text.</w:t>
            </w:r>
          </w:p>
        </w:tc>
        <w:tc>
          <w:tcPr>
            <w:tcW w:w="800" w:type="dxa"/>
          </w:tcPr>
          <w:p w14:paraId="52F2E225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0E382A2E" w14:textId="77777777" w:rsidTr="002A7DE8">
        <w:tc>
          <w:tcPr>
            <w:tcW w:w="500" w:type="dxa"/>
          </w:tcPr>
          <w:p w14:paraId="3F179360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</w:tcPr>
          <w:p w14:paraId="067D9FA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Vaccination coverage</w:t>
            </w:r>
          </w:p>
        </w:tc>
        <w:tc>
          <w:tcPr>
            <w:tcW w:w="4260" w:type="dxa"/>
          </w:tcPr>
          <w:p w14:paraId="1C633C2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Higher vaccination reduces risk contribution from this interface. Used in wᵢⱼ: (1−VaccCov).</w:t>
            </w:r>
          </w:p>
        </w:tc>
        <w:tc>
          <w:tcPr>
            <w:tcW w:w="1200" w:type="dxa"/>
          </w:tcPr>
          <w:p w14:paraId="2606DC77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1.</w:t>
            </w:r>
          </w:p>
        </w:tc>
        <w:tc>
          <w:tcPr>
            <w:tcW w:w="800" w:type="dxa"/>
          </w:tcPr>
          <w:p w14:paraId="70447B39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51D16249" w14:textId="77777777" w:rsidTr="002A7DE8">
        <w:tc>
          <w:tcPr>
            <w:tcW w:w="500" w:type="dxa"/>
          </w:tcPr>
          <w:p w14:paraId="1BB6CC8D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00" w:type="dxa"/>
          </w:tcPr>
          <w:p w14:paraId="4ED20CA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Monitoring level</w:t>
            </w:r>
          </w:p>
        </w:tc>
        <w:tc>
          <w:tcPr>
            <w:tcW w:w="4260" w:type="dxa"/>
          </w:tcPr>
          <w:p w14:paraId="6B3C047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Higher monitoring reduces interface risk contribution. Used in wᵢⱼ: (1−Monitoring).</w:t>
            </w:r>
          </w:p>
        </w:tc>
        <w:tc>
          <w:tcPr>
            <w:tcW w:w="1200" w:type="dxa"/>
          </w:tcPr>
          <w:p w14:paraId="7883F9A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1.</w:t>
            </w:r>
          </w:p>
        </w:tc>
        <w:tc>
          <w:tcPr>
            <w:tcW w:w="800" w:type="dxa"/>
          </w:tcPr>
          <w:p w14:paraId="7A0CA2E0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3D354337" w14:textId="77777777" w:rsidTr="002A7DE8">
        <w:tc>
          <w:tcPr>
            <w:tcW w:w="500" w:type="dxa"/>
          </w:tcPr>
          <w:p w14:paraId="68B46E8C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0" w:type="dxa"/>
          </w:tcPr>
          <w:p w14:paraId="6D01DD8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Biosecurity score</w:t>
            </w:r>
          </w:p>
        </w:tc>
        <w:tc>
          <w:tcPr>
            <w:tcW w:w="4260" w:type="dxa"/>
          </w:tcPr>
          <w:p w14:paraId="7B9B863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Higher biosecurity reduces risk contribution from this interface. Used in wᵢⱼ: (1−Biosec).</w:t>
            </w:r>
          </w:p>
        </w:tc>
        <w:tc>
          <w:tcPr>
            <w:tcW w:w="1200" w:type="dxa"/>
          </w:tcPr>
          <w:p w14:paraId="1879AD0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1.</w:t>
            </w:r>
          </w:p>
        </w:tc>
        <w:tc>
          <w:tcPr>
            <w:tcW w:w="800" w:type="dxa"/>
          </w:tcPr>
          <w:p w14:paraId="0EF08BF1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561A9868" w14:textId="77777777" w:rsidTr="002A7DE8">
        <w:tc>
          <w:tcPr>
            <w:tcW w:w="500" w:type="dxa"/>
          </w:tcPr>
          <w:p w14:paraId="3F60645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0" w:type="dxa"/>
          </w:tcPr>
          <w:p w14:paraId="6FF5D21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Iₚ (infected pigs)</w:t>
            </w:r>
          </w:p>
        </w:tc>
        <w:tc>
          <w:tcPr>
            <w:tcW w:w="4260" w:type="dxa"/>
          </w:tcPr>
          <w:p w14:paraId="4488B11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Number of infected pigs in this neighbour/interface. Used with Nₚ to compute Iₚ/Nₚ.</w:t>
            </w:r>
          </w:p>
        </w:tc>
        <w:tc>
          <w:tcPr>
            <w:tcW w:w="1200" w:type="dxa"/>
          </w:tcPr>
          <w:p w14:paraId="4AFD996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0.</w:t>
            </w:r>
          </w:p>
        </w:tc>
        <w:tc>
          <w:tcPr>
            <w:tcW w:w="800" w:type="dxa"/>
          </w:tcPr>
          <w:p w14:paraId="7DF25E5A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1B530BA1" w14:textId="77777777" w:rsidTr="002A7DE8">
        <w:tc>
          <w:tcPr>
            <w:tcW w:w="500" w:type="dxa"/>
          </w:tcPr>
          <w:p w14:paraId="5555B568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0" w:type="dxa"/>
          </w:tcPr>
          <w:p w14:paraId="541D38A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Nₚ (pig population)</w:t>
            </w:r>
          </w:p>
        </w:tc>
        <w:tc>
          <w:tcPr>
            <w:tcW w:w="4260" w:type="dxa"/>
          </w:tcPr>
          <w:p w14:paraId="0012A79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Pig population size for this neighbour/interface. Used as denominator for Iₚ/Nₚ.</w:t>
            </w:r>
          </w:p>
        </w:tc>
        <w:tc>
          <w:tcPr>
            <w:tcW w:w="1200" w:type="dxa"/>
          </w:tcPr>
          <w:p w14:paraId="66B45F0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1.</w:t>
            </w:r>
          </w:p>
        </w:tc>
        <w:tc>
          <w:tcPr>
            <w:tcW w:w="800" w:type="dxa"/>
          </w:tcPr>
          <w:p w14:paraId="30ADEC6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7C61F8D2" w14:textId="77777777" w:rsidTr="002A7DE8">
        <w:tc>
          <w:tcPr>
            <w:tcW w:w="500" w:type="dxa"/>
          </w:tcPr>
          <w:p w14:paraId="5BF1DBA8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00" w:type="dxa"/>
          </w:tcPr>
          <w:p w14:paraId="6884906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I_w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(infected wading birds)</w:t>
            </w:r>
          </w:p>
        </w:tc>
        <w:tc>
          <w:tcPr>
            <w:tcW w:w="4260" w:type="dxa"/>
          </w:tcPr>
          <w:p w14:paraId="40A48720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Infected birds in this interface. Used with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to compute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0" w:type="dxa"/>
          </w:tcPr>
          <w:p w14:paraId="02E0A9F3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0.</w:t>
            </w:r>
          </w:p>
        </w:tc>
        <w:tc>
          <w:tcPr>
            <w:tcW w:w="800" w:type="dxa"/>
          </w:tcPr>
          <w:p w14:paraId="7FE4822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6EB46567" w14:textId="77777777" w:rsidTr="002A7DE8">
        <w:tc>
          <w:tcPr>
            <w:tcW w:w="500" w:type="dxa"/>
          </w:tcPr>
          <w:p w14:paraId="55937B5C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00" w:type="dxa"/>
          </w:tcPr>
          <w:p w14:paraId="15F067F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(wading bird population)</w:t>
            </w:r>
          </w:p>
        </w:tc>
        <w:tc>
          <w:tcPr>
            <w:tcW w:w="4260" w:type="dxa"/>
          </w:tcPr>
          <w:p w14:paraId="42D2408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Bird population in this interface. Denominator for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0" w:type="dxa"/>
          </w:tcPr>
          <w:p w14:paraId="17018EC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1.</w:t>
            </w:r>
          </w:p>
        </w:tc>
        <w:tc>
          <w:tcPr>
            <w:tcW w:w="800" w:type="dxa"/>
          </w:tcPr>
          <w:p w14:paraId="31CF09B6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1F3D751A" w14:textId="77777777" w:rsidTr="002A7DE8">
        <w:tc>
          <w:tcPr>
            <w:tcW w:w="500" w:type="dxa"/>
          </w:tcPr>
          <w:p w14:paraId="19A31BE7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00" w:type="dxa"/>
          </w:tcPr>
          <w:p w14:paraId="21722D95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I_m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(infected mosquitoes)</w:t>
            </w:r>
          </w:p>
        </w:tc>
        <w:tc>
          <w:tcPr>
            <w:tcW w:w="4260" w:type="dxa"/>
          </w:tcPr>
          <w:p w14:paraId="344B7D9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Infected mosquitoes in this interface. Used with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 to compute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0" w:type="dxa"/>
          </w:tcPr>
          <w:p w14:paraId="4F1E59E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0.</w:t>
            </w:r>
          </w:p>
        </w:tc>
        <w:tc>
          <w:tcPr>
            <w:tcW w:w="800" w:type="dxa"/>
          </w:tcPr>
          <w:p w14:paraId="5A6CE942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4B77A458" w14:textId="77777777" w:rsidTr="002A7DE8">
        <w:tc>
          <w:tcPr>
            <w:tcW w:w="500" w:type="dxa"/>
          </w:tcPr>
          <w:p w14:paraId="13C21E0C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00" w:type="dxa"/>
          </w:tcPr>
          <w:p w14:paraId="19075D4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N_m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(mosquito population)</w:t>
            </w:r>
          </w:p>
        </w:tc>
        <w:tc>
          <w:tcPr>
            <w:tcW w:w="4260" w:type="dxa"/>
          </w:tcPr>
          <w:p w14:paraId="4A92E32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Mosquito population size for this interface. Denominator for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0" w:type="dxa"/>
          </w:tcPr>
          <w:p w14:paraId="0021585E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1.</w:t>
            </w:r>
          </w:p>
        </w:tc>
        <w:tc>
          <w:tcPr>
            <w:tcW w:w="800" w:type="dxa"/>
          </w:tcPr>
          <w:p w14:paraId="1A47B1A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5EC9620F" w14:textId="77777777" w:rsidTr="002A7DE8">
        <w:tc>
          <w:tcPr>
            <w:tcW w:w="500" w:type="dxa"/>
          </w:tcPr>
          <w:p w14:paraId="47E8A728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00" w:type="dxa"/>
          </w:tcPr>
          <w:p w14:paraId="436177C2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THI (0–1)</w:t>
            </w:r>
          </w:p>
        </w:tc>
        <w:tc>
          <w:tcPr>
            <w:tcW w:w="4260" w:type="dxa"/>
          </w:tcPr>
          <w:p w14:paraId="0D3C193C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Thermal/humidity index proxy that increases interface risk when high. Added in wᵢⱼ as +THI.</w:t>
            </w:r>
          </w:p>
        </w:tc>
        <w:tc>
          <w:tcPr>
            <w:tcW w:w="1200" w:type="dxa"/>
          </w:tcPr>
          <w:p w14:paraId="55A0B869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0 – 1.</w:t>
            </w:r>
          </w:p>
        </w:tc>
        <w:tc>
          <w:tcPr>
            <w:tcW w:w="800" w:type="dxa"/>
          </w:tcPr>
          <w:p w14:paraId="11CF7508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4344D600" w14:textId="77777777" w:rsidTr="002A7DE8">
        <w:tc>
          <w:tcPr>
            <w:tcW w:w="500" w:type="dxa"/>
          </w:tcPr>
          <w:p w14:paraId="6EC3D574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00" w:type="dxa"/>
          </w:tcPr>
          <w:p w14:paraId="69E0B49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wᵢⱼ</w:t>
            </w:r>
          </w:p>
        </w:tc>
        <w:tc>
          <w:tcPr>
            <w:tcW w:w="4260" w:type="dxa"/>
          </w:tcPr>
          <w:p w14:paraId="6C7C9244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Interface risk weight. Higher means stronger influence from this neighbour. wᵢⱼ = (1−VaccCov) + (1−Monitoring) + (1−Biosec) + THI.</w:t>
            </w:r>
          </w:p>
        </w:tc>
        <w:tc>
          <w:tcPr>
            <w:tcW w:w="1200" w:type="dxa"/>
          </w:tcPr>
          <w:p w14:paraId="02042841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0 (computed).</w:t>
            </w:r>
          </w:p>
        </w:tc>
        <w:tc>
          <w:tcPr>
            <w:tcW w:w="800" w:type="dxa"/>
          </w:tcPr>
          <w:p w14:paraId="7488E84D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55DBE5B3" w14:textId="77777777" w:rsidTr="002A7DE8">
        <w:tc>
          <w:tcPr>
            <w:tcW w:w="500" w:type="dxa"/>
          </w:tcPr>
          <w:p w14:paraId="42D28A80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00" w:type="dxa"/>
          </w:tcPr>
          <w:p w14:paraId="22183BCD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contrib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ᵖⱼ</w:t>
            </w:r>
          </w:p>
        </w:tc>
        <w:tc>
          <w:tcPr>
            <w:tcW w:w="4260" w:type="dxa"/>
          </w:tcPr>
          <w:p w14:paraId="16BADF2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Neighbour contribution to pig pressure.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ᵖⱼ = wᵢⱼ × (Iₚ/Nₚ).</w:t>
            </w:r>
          </w:p>
        </w:tc>
        <w:tc>
          <w:tcPr>
            <w:tcW w:w="1200" w:type="dxa"/>
          </w:tcPr>
          <w:p w14:paraId="1A0F66B6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0.</w:t>
            </w:r>
          </w:p>
        </w:tc>
        <w:tc>
          <w:tcPr>
            <w:tcW w:w="800" w:type="dxa"/>
          </w:tcPr>
          <w:p w14:paraId="5BE4068B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40004A3F" w14:textId="77777777" w:rsidTr="002A7DE8">
        <w:tc>
          <w:tcPr>
            <w:tcW w:w="500" w:type="dxa"/>
          </w:tcPr>
          <w:p w14:paraId="7007F0BF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00" w:type="dxa"/>
          </w:tcPr>
          <w:p w14:paraId="7BABBEB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contribʷ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ⱼ</w:t>
            </w:r>
          </w:p>
        </w:tc>
        <w:tc>
          <w:tcPr>
            <w:tcW w:w="4260" w:type="dxa"/>
          </w:tcPr>
          <w:p w14:paraId="06C0E2C8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Neighbour contribution to bird pressure.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contribʷ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ⱼ = wᵢⱼ × (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N_w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200" w:type="dxa"/>
          </w:tcPr>
          <w:p w14:paraId="30C8B3DA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0.</w:t>
            </w:r>
          </w:p>
        </w:tc>
        <w:tc>
          <w:tcPr>
            <w:tcW w:w="800" w:type="dxa"/>
          </w:tcPr>
          <w:p w14:paraId="1EA87795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27BD" w:rsidRPr="003B76C8" w14:paraId="274FDCEC" w14:textId="77777777" w:rsidTr="002A7DE8">
        <w:tc>
          <w:tcPr>
            <w:tcW w:w="500" w:type="dxa"/>
          </w:tcPr>
          <w:p w14:paraId="662D38CA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00" w:type="dxa"/>
          </w:tcPr>
          <w:p w14:paraId="6FE8786B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contrib</w:t>
            </w:r>
            <w:proofErr w:type="spellEnd"/>
            <w:r w:rsidRPr="003B76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ᵐⱼ</w:t>
            </w:r>
          </w:p>
        </w:tc>
        <w:tc>
          <w:tcPr>
            <w:tcW w:w="4260" w:type="dxa"/>
          </w:tcPr>
          <w:p w14:paraId="4460954F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 xml:space="preserve">Neighbour contribution to mosquito pressure. 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ᵐⱼ = wᵢⱼ × (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I_m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N_m</w:t>
            </w:r>
            <w:proofErr w:type="spellEnd"/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200" w:type="dxa"/>
          </w:tcPr>
          <w:p w14:paraId="484CDC07" w14:textId="77777777" w:rsidR="001427BD" w:rsidRPr="003B76C8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≥ 0.</w:t>
            </w:r>
          </w:p>
        </w:tc>
        <w:tc>
          <w:tcPr>
            <w:tcW w:w="800" w:type="dxa"/>
          </w:tcPr>
          <w:p w14:paraId="47A1DAB3" w14:textId="77777777" w:rsidR="001427BD" w:rsidRPr="003B76C8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DDAFFAF" w14:textId="77777777" w:rsidR="001427BD" w:rsidRPr="003B76C8" w:rsidRDefault="001427BD">
      <w:pPr>
        <w:spacing w:after="200"/>
        <w:rPr>
          <w:rFonts w:ascii="Times New Roman" w:hAnsi="Times New Roman" w:cs="Times New Roman"/>
          <w:sz w:val="24"/>
          <w:szCs w:val="24"/>
        </w:rPr>
      </w:pPr>
    </w:p>
    <w:p w14:paraId="4413E0AA" w14:textId="005F348F" w:rsidR="001427BD" w:rsidRPr="003B76C8" w:rsidRDefault="00000000" w:rsidP="003B76C8">
      <w:pPr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R₀, Herd Immunity Threshold (HIT) and Endemic Equilibrium</w:t>
      </w:r>
    </w:p>
    <w:p w14:paraId="499EB459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lastRenderedPageBreak/>
        <w:t>How R₀ is computed</w:t>
      </w:r>
    </w:p>
    <w:p w14:paraId="687984F5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The dashboard computes a combined R₀ from two linked transmission cycles and then adjusts it for vaccination:</w:t>
      </w:r>
    </w:p>
    <w:p w14:paraId="18EEA7E9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Vector–reservoir cycle (mosquito ↔ pig, mosquito ↔ wading bird): driven by biting rates B and C, the temperature-dependent bite rate b(T), transmission probabilities β_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/β_pm/β_mw/β_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wm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, natural mortalities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μ_m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μ_p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μ_w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, and pig treatment rate α₂.</w:t>
      </w:r>
    </w:p>
    <w:p w14:paraId="16AC679E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Human cycle (mosquito ↔ human): driven by β_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mh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, β_hm, b(T), progression rate φ, JE-specific death rate σ, and recovery rates τ₁/τ₂.</w:t>
      </w:r>
    </w:p>
    <w:p w14:paraId="6F0FE74C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R₀ (basic) = R₀ (vector–reservoir cycles) + R₀ (human cycle), then scaled by a vaccination/booster-intensity factor (from ρ₁, ρ₂ relative to reference values) and a treatment-intensity factor (from τ₂).</w:t>
      </w:r>
    </w:p>
    <w:p w14:paraId="502932B7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Final R₀ = R₀(pre-vaccination) × </w:t>
      </w:r>
      <w:proofErr w:type="gramStart"/>
      <w:r w:rsidRPr="003B76C8">
        <w:rPr>
          <w:rFonts w:ascii="Times New Roman" w:hAnsi="Times New Roman" w:cs="Times New Roman"/>
          <w:sz w:val="24"/>
          <w:szCs w:val="24"/>
        </w:rPr>
        <w:t>√(</w:t>
      </w:r>
      <w:proofErr w:type="gramEnd"/>
      <w:r w:rsidRPr="003B76C8">
        <w:rPr>
          <w:rFonts w:ascii="Times New Roman" w:hAnsi="Times New Roman" w:cs="Times New Roman"/>
          <w:sz w:val="24"/>
          <w:szCs w:val="24"/>
        </w:rPr>
        <w:t>effective susceptible human fraction), where effective susceptible humans = Sₕ + (1 − VE</w:t>
      </w:r>
      <w:proofErr w:type="gramStart"/>
      <w:r w:rsidRPr="003B76C8">
        <w:rPr>
          <w:rFonts w:ascii="Times New Roman" w:hAnsi="Times New Roman" w:cs="Times New Roman"/>
          <w:sz w:val="24"/>
          <w:szCs w:val="24"/>
        </w:rPr>
        <w:t>₁)×</w:t>
      </w:r>
      <w:proofErr w:type="gramEnd"/>
      <w:r w:rsidRPr="003B76C8">
        <w:rPr>
          <w:rFonts w:ascii="Times New Roman" w:hAnsi="Times New Roman" w:cs="Times New Roman"/>
          <w:sz w:val="24"/>
          <w:szCs w:val="24"/>
        </w:rPr>
        <w:t>V₁ₕ + (1 − VE</w:t>
      </w:r>
      <w:proofErr w:type="gramStart"/>
      <w:r w:rsidRPr="003B76C8">
        <w:rPr>
          <w:rFonts w:ascii="Times New Roman" w:hAnsi="Times New Roman" w:cs="Times New Roman"/>
          <w:sz w:val="24"/>
          <w:szCs w:val="24"/>
        </w:rPr>
        <w:t>₂)×</w:t>
      </w:r>
      <w:proofErr w:type="gramEnd"/>
      <w:r w:rsidRPr="003B76C8">
        <w:rPr>
          <w:rFonts w:ascii="Times New Roman" w:hAnsi="Times New Roman" w:cs="Times New Roman"/>
          <w:sz w:val="24"/>
          <w:szCs w:val="24"/>
        </w:rPr>
        <w:t>V₂ₕ. Raising V₁ₕ or V₂ₕ (or their efficacies) lowers the displayed R₀.</w:t>
      </w:r>
    </w:p>
    <w:p w14:paraId="578B63BB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If the Contact Module is switched on, the district-level contact scale (αJE and neighbour contributions) multiplies directly into both transmission cycles.</w:t>
      </w:r>
    </w:p>
    <w:p w14:paraId="197DE131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Herd Immunity Threshold (HIT)</w:t>
      </w:r>
    </w:p>
    <w:p w14:paraId="0D34C9A1" w14:textId="77777777" w:rsidR="001427BD" w:rsidRPr="003B76C8" w:rsidRDefault="00000000">
      <w:pPr>
        <w:spacing w:after="10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HIT = 1 − 1/R₀, shown as a percentage, and is only meaningful when R₀ &gt; 1. It is the minimum share of the effective population that must be immune (through vaccination or recovery) to stop sustained JE transmission in the modelled district.</w:t>
      </w:r>
    </w:p>
    <w:p w14:paraId="3D27DB23" w14:textId="77777777" w:rsidR="001427BD" w:rsidRPr="003B76C8" w:rsidRDefault="00000000">
      <w:pPr>
        <w:pStyle w:val="Heading2"/>
        <w:spacing w:before="240" w:after="120"/>
        <w:rPr>
          <w:rFonts w:ascii="Times New Roman" w:hAnsi="Times New Roman" w:cs="Times New Roman"/>
        </w:rPr>
      </w:pPr>
      <w:r w:rsidRPr="003B76C8">
        <w:rPr>
          <w:rFonts w:ascii="Times New Roman" w:hAnsi="Times New Roman" w:cs="Times New Roman"/>
        </w:rPr>
        <w:t>Endemic Equilibrium</w:t>
      </w:r>
    </w:p>
    <w:p w14:paraId="3D0EA9A7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The Endemic Equilibrium panel (separate input block, independent of the main simulation parameters) estimates the steady-state (“long-run”) level each compartment settles to if the disease persists rather than dies out.</w:t>
      </w:r>
    </w:p>
    <w:p w14:paraId="768F40A2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Workflow: open “Endemic Equilibrium Parameters”, adjust only if you know disease-specific durations/progression rates for your setting, then click </w:t>
      </w:r>
      <w:r w:rsidRPr="003B76C8">
        <w:rPr>
          <w:rFonts w:ascii="Cambria Math" w:hAnsi="Cambria Math" w:cs="Cambria Math"/>
          <w:sz w:val="24"/>
          <w:szCs w:val="24"/>
        </w:rPr>
        <w:t>▶</w:t>
      </w:r>
      <w:r w:rsidRPr="003B76C8">
        <w:rPr>
          <w:rFonts w:ascii="Times New Roman" w:hAnsi="Times New Roman" w:cs="Times New Roman"/>
          <w:sz w:val="24"/>
          <w:szCs w:val="24"/>
        </w:rPr>
        <w:t xml:space="preserve"> Compute Equilibrium.</w:t>
      </w:r>
    </w:p>
    <w:p w14:paraId="70AF864D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The tool also flags a threshold breach: if the simulated outbreak's peak in any compartment exceeds its computed equilibrium value, the dashboard raises a “Endemic Equilibrium Threshold Reached” alert recommending immediate intervention.</w:t>
      </w:r>
    </w:p>
    <w:p w14:paraId="18C03721" w14:textId="77777777" w:rsidR="001427BD" w:rsidRPr="003B76C8" w:rsidRDefault="00000000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How to Download Results</w:t>
      </w:r>
    </w:p>
    <w:p w14:paraId="210FA9E8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Download Report (HTML): full report — summary, current-day values, equilibrium point, embedded charts and all input parameters. Open in a browser and Print → Save as PDF.</w:t>
      </w:r>
    </w:p>
    <w:p w14:paraId="70F5F69B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Download Parameters (CSV): every input setting (parameter name/ID/value, including sliders and checkboxes).</w:t>
      </w:r>
    </w:p>
    <w:p w14:paraId="27028388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Download Results (CSV): day-wise simulation data for all compartments (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S_h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I_Ah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I_h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R_h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S_p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I_p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S_w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I_w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S_m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I_m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, etc.) plus R₀ (input), R₀ (computed) and HIT %.</w:t>
      </w:r>
    </w:p>
    <w:p w14:paraId="267CCF8D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Download Chart + Summary (PNG): the main stacked chart with a summary footer.</w:t>
      </w:r>
    </w:p>
    <w:p w14:paraId="1D331137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Download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I_total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(PNG): the total-infections curve alone.</w:t>
      </w:r>
    </w:p>
    <w:p w14:paraId="4B283F46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lastRenderedPageBreak/>
        <w:t>Download All Graphs (HD PNG): every chart on the page as high-resolution images in one go.</w:t>
      </w:r>
    </w:p>
    <w:p w14:paraId="62104787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Download With vs Without Control (HD PNG): side-by-side comparison chart for an intervention scenario.</w:t>
      </w:r>
    </w:p>
    <w:p w14:paraId="259503D9" w14:textId="77777777" w:rsidR="001427BD" w:rsidRPr="003B76C8" w:rsidRDefault="00000000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Quality Checks Before Running the Simulation</w:t>
      </w:r>
    </w:p>
    <w:p w14:paraId="60C174B2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Bounds: rates and fractions in 0–1, temperature in a realistic °C range, and all population counts as non-negative integers.</w:t>
      </w:r>
    </w:p>
    <w:p w14:paraId="78A6BAD6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Consistency: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I_Ah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₀ + Iₕ₀ + Rₕ₀ + V₁ₕ₀ + V₂ₕ₀ ≤ Nₕ; Iₚ₀ + Bₚ₀ ≤ Nₚ;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I_w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₀ +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B_w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₀ ≤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N_w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I_m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₀ ≤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N_m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.</w:t>
      </w:r>
    </w:p>
    <w:p w14:paraId="2F5A8C58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VE₁ should normally be lower than VE₂ (first dose series gives less protection than the completed/boosted series).</w:t>
      </w:r>
    </w:p>
    <w:p w14:paraId="3FC6D553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If your dashboard's contact module is switched off,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contactScale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= 1 is used automatically — no need to fill in Section 11/12.</w:t>
      </w:r>
    </w:p>
    <w:p w14:paraId="49F2A453" w14:textId="77777777" w:rsidR="001427BD" w:rsidRPr="003B76C8" w:rsidRDefault="00000000">
      <w:pPr>
        <w:pStyle w:val="ListParagraph"/>
        <w:numPr>
          <w:ilvl w:val="0"/>
          <w:numId w:val="1"/>
        </w:numPr>
        <w:spacing w:after="6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Confirm whether a field expects a rate/day, a fraction (0–1) or a percentage before typing — the Help button on each field states this explicitly.</w:t>
      </w:r>
    </w:p>
    <w:p w14:paraId="4520AC62" w14:textId="25757CFD" w:rsidR="001427BD" w:rsidRPr="003B76C8" w:rsidRDefault="00000000" w:rsidP="003B76C8">
      <w:pPr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C. Year-wise Validation Panel — Step-by-Step</w:t>
      </w:r>
    </w:p>
    <w:p w14:paraId="1182145B" w14:textId="77777777" w:rsidR="001427BD" w:rsidRPr="003B76C8" w:rsidRDefault="00000000">
      <w:pPr>
        <w:spacing w:after="100"/>
        <w:ind w:left="72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i/>
          <w:iCs/>
          <w:color w:val="555555"/>
          <w:sz w:val="24"/>
          <w:szCs w:val="24"/>
        </w:rPr>
        <w:t>Located at the bottom of the dashboard (</w:t>
      </w:r>
      <w:r w:rsidRPr="003B76C8">
        <w:rPr>
          <w:rFonts w:ascii="Segoe UI Emoji" w:hAnsi="Segoe UI Emoji" w:cs="Segoe UI Emoji"/>
          <w:i/>
          <w:iCs/>
          <w:color w:val="555555"/>
          <w:sz w:val="24"/>
          <w:szCs w:val="24"/>
        </w:rPr>
        <w:t>📊</w:t>
      </w:r>
      <w:r w:rsidRPr="003B76C8">
        <w:rPr>
          <w:rFonts w:ascii="Times New Roman" w:hAnsi="Times New Roman" w:cs="Times New Roman"/>
          <w:i/>
          <w:iCs/>
          <w:color w:val="555555"/>
          <w:sz w:val="24"/>
          <w:szCs w:val="24"/>
        </w:rPr>
        <w:t xml:space="preserve"> Year-wise JE Simulation Validation). Runs a Runge-</w:t>
      </w:r>
      <w:proofErr w:type="spellStart"/>
      <w:r w:rsidRPr="003B76C8">
        <w:rPr>
          <w:rFonts w:ascii="Times New Roman" w:hAnsi="Times New Roman" w:cs="Times New Roman"/>
          <w:i/>
          <w:iCs/>
          <w:color w:val="555555"/>
          <w:sz w:val="24"/>
          <w:szCs w:val="24"/>
        </w:rPr>
        <w:t>Kutta</w:t>
      </w:r>
      <w:proofErr w:type="spellEnd"/>
      <w:r w:rsidRPr="003B76C8">
        <w:rPr>
          <w:rFonts w:ascii="Times New Roman" w:hAnsi="Times New Roman" w:cs="Times New Roman"/>
          <w:i/>
          <w:iCs/>
          <w:color w:val="555555"/>
          <w:sz w:val="24"/>
          <w:szCs w:val="24"/>
        </w:rPr>
        <w:t xml:space="preserve"> 4th-order hindcast against historical district data and reports accuracy metrics.</w:t>
      </w:r>
    </w:p>
    <w:p w14:paraId="465397FD" w14:textId="77777777" w:rsidR="001427BD" w:rsidRPr="003B76C8" w:rsidRDefault="00000000">
      <w:pPr>
        <w:spacing w:after="10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b/>
          <w:bCs/>
          <w:sz w:val="24"/>
          <w:szCs w:val="24"/>
        </w:rPr>
        <w:t>Choose exactly one of the three District Historical Data sources:</w:t>
      </w:r>
    </w:p>
    <w:p w14:paraId="0FFA8FD7" w14:textId="77777777" w:rsidR="001427BD" w:rsidRPr="003B76C8" w:rsidRDefault="00000000">
      <w:pPr>
        <w:pStyle w:val="ListParagraph"/>
        <w:numPr>
          <w:ilvl w:val="0"/>
          <w:numId w:val="4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Option 1 — Built-in Karnataka district: keep the first radio button (“Karnataka District — built-in, NVBDCP 2008-2020”) selected, then pick a district from its dropdown (29 districts available, e.g.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Bagalkote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>, Belgaum, Mysore…; Udupi is pre-selected by default).</w:t>
      </w:r>
    </w:p>
    <w:p w14:paraId="1A6CF729" w14:textId="77777777" w:rsidR="001427BD" w:rsidRPr="003B76C8" w:rsidRDefault="00000000">
      <w:pPr>
        <w:pStyle w:val="ListParagraph"/>
        <w:numPr>
          <w:ilvl w:val="0"/>
          <w:numId w:val="4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Option 2 — Run on default values: select the “West Bengal District CSV data (default)” radio button, then choose Kolkata or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Purba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Barddhaman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from its dropdown. This runs immediately on the pre-loaded default dataset — no file upload needed.</w:t>
      </w:r>
    </w:p>
    <w:p w14:paraId="6152A161" w14:textId="77777777" w:rsidR="001427BD" w:rsidRPr="003B76C8" w:rsidRDefault="00000000">
      <w:pPr>
        <w:pStyle w:val="ListParagraph"/>
        <w:numPr>
          <w:ilvl w:val="0"/>
          <w:numId w:val="4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Option 3 — Upload your own file: select “Upload Another District CSV” and use this only for a district not already covered by the two options above. Click the file field and upload a .csv with required columns Year,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Observed_Cases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Human_Population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(optional columns: District, Deaths, Dose1, Dose2).</w:t>
      </w:r>
    </w:p>
    <w:p w14:paraId="3A05FD00" w14:textId="77777777" w:rsidR="001427BD" w:rsidRPr="003B76C8" w:rsidRDefault="00000000">
      <w:pPr>
        <w:spacing w:after="10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b/>
          <w:bCs/>
          <w:sz w:val="24"/>
          <w:szCs w:val="24"/>
        </w:rPr>
        <w:t>Then complete the run:</w:t>
      </w:r>
    </w:p>
    <w:p w14:paraId="12C7BF05" w14:textId="77777777" w:rsidR="001427BD" w:rsidRPr="003B76C8" w:rsidRDefault="00000000">
      <w:pPr>
        <w:pStyle w:val="ListParagraph"/>
        <w:numPr>
          <w:ilvl w:val="0"/>
          <w:numId w:val="5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(Optional) Type a custom label in District Name and click Apply to relabel the panel title and tables.</w:t>
      </w:r>
    </w:p>
    <w:p w14:paraId="13F7EA60" w14:textId="77777777" w:rsidR="001427BD" w:rsidRPr="003B76C8" w:rsidRDefault="00000000">
      <w:pPr>
        <w:pStyle w:val="ListParagraph"/>
        <w:numPr>
          <w:ilvl w:val="0"/>
          <w:numId w:val="5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Set Year </w:t>
      </w:r>
      <w:proofErr w:type="gramStart"/>
      <w:r w:rsidRPr="003B76C8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Pr="003B76C8">
        <w:rPr>
          <w:rFonts w:ascii="Times New Roman" w:hAnsi="Times New Roman" w:cs="Times New Roman"/>
          <w:sz w:val="24"/>
          <w:szCs w:val="24"/>
        </w:rPr>
        <w:t xml:space="preserve"> and Year To </w:t>
      </w:r>
      <w:proofErr w:type="spellStart"/>
      <w:r w:rsidRPr="003B76C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3B76C8">
        <w:rPr>
          <w:rFonts w:ascii="Times New Roman" w:hAnsi="Times New Roman" w:cs="Times New Roman"/>
          <w:sz w:val="24"/>
          <w:szCs w:val="24"/>
        </w:rPr>
        <w:t xml:space="preserve"> bound the validation period, and choose whether to Include all years or Exclude years with 0 observed cases.</w:t>
      </w:r>
    </w:p>
    <w:p w14:paraId="28E72A43" w14:textId="77777777" w:rsidR="001427BD" w:rsidRPr="003B76C8" w:rsidRDefault="00000000">
      <w:pPr>
        <w:pStyle w:val="ListParagraph"/>
        <w:numPr>
          <w:ilvl w:val="0"/>
          <w:numId w:val="5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 xml:space="preserve">Click </w:t>
      </w:r>
      <w:r w:rsidRPr="003B76C8">
        <w:rPr>
          <w:rFonts w:ascii="Cambria Math" w:hAnsi="Cambria Math" w:cs="Cambria Math"/>
          <w:sz w:val="24"/>
          <w:szCs w:val="24"/>
        </w:rPr>
        <w:t>▶</w:t>
      </w:r>
      <w:r w:rsidRPr="003B76C8">
        <w:rPr>
          <w:rFonts w:ascii="Times New Roman" w:hAnsi="Times New Roman" w:cs="Times New Roman"/>
          <w:sz w:val="24"/>
          <w:szCs w:val="24"/>
        </w:rPr>
        <w:t xml:space="preserve"> Run Year-wise Validation. For each year the tool back-calculates βₘₕ from observed incidence, solves the host–vector ODE system by RK4 for 365 days, and classifies the year as TP / TN / FP / FN by comparing reported vs predicted activity.</w:t>
      </w:r>
    </w:p>
    <w:p w14:paraId="474D0775" w14:textId="77777777" w:rsidR="001427BD" w:rsidRPr="003B76C8" w:rsidRDefault="00000000">
      <w:pPr>
        <w:pStyle w:val="ListParagraph"/>
        <w:numPr>
          <w:ilvl w:val="0"/>
          <w:numId w:val="5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t>Review the summary cards — YES rate (Accuracy), McFadden R², AIC (Full/Null), LR χ² (p-value) — and the year-by-year validation table below them.</w:t>
      </w:r>
    </w:p>
    <w:p w14:paraId="7123F967" w14:textId="77777777" w:rsidR="001427BD" w:rsidRPr="003B76C8" w:rsidRDefault="00000000">
      <w:pPr>
        <w:pStyle w:val="ListParagraph"/>
        <w:numPr>
          <w:ilvl w:val="0"/>
          <w:numId w:val="5"/>
        </w:numPr>
        <w:spacing w:after="90"/>
        <w:rPr>
          <w:rFonts w:ascii="Times New Roman" w:hAnsi="Times New Roman" w:cs="Times New Roman"/>
          <w:sz w:val="24"/>
          <w:szCs w:val="24"/>
        </w:rPr>
      </w:pPr>
      <w:r w:rsidRPr="003B76C8">
        <w:rPr>
          <w:rFonts w:ascii="Times New Roman" w:hAnsi="Times New Roman" w:cs="Times New Roman"/>
          <w:sz w:val="24"/>
          <w:szCs w:val="24"/>
        </w:rPr>
        <w:lastRenderedPageBreak/>
        <w:t xml:space="preserve">Click </w:t>
      </w:r>
      <w:r w:rsidRPr="003B76C8">
        <w:rPr>
          <w:rFonts w:ascii="Cambria Math" w:hAnsi="Cambria Math" w:cs="Cambria Math"/>
          <w:sz w:val="24"/>
          <w:szCs w:val="24"/>
        </w:rPr>
        <w:t>⬇</w:t>
      </w:r>
      <w:r w:rsidRPr="003B76C8">
        <w:rPr>
          <w:rFonts w:ascii="Times New Roman" w:hAnsi="Times New Roman" w:cs="Times New Roman"/>
          <w:sz w:val="24"/>
          <w:szCs w:val="24"/>
        </w:rPr>
        <w:t xml:space="preserve"> Export CSV to download the full validation table.</w:t>
      </w:r>
    </w:p>
    <w:sectPr w:rsidR="001427BD" w:rsidRPr="003B76C8" w:rsidSect="003B76C8"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52938"/>
    <w:multiLevelType w:val="hybridMultilevel"/>
    <w:tmpl w:val="24F87FEA"/>
    <w:lvl w:ilvl="0" w:tplc="B3680A32">
      <w:start w:val="1"/>
      <w:numFmt w:val="bullet"/>
      <w:lvlText w:val="●"/>
      <w:lvlJc w:val="left"/>
      <w:pPr>
        <w:ind w:left="720" w:hanging="360"/>
      </w:pPr>
    </w:lvl>
    <w:lvl w:ilvl="1" w:tplc="79345830">
      <w:start w:val="1"/>
      <w:numFmt w:val="bullet"/>
      <w:lvlText w:val="○"/>
      <w:lvlJc w:val="left"/>
      <w:pPr>
        <w:ind w:left="1440" w:hanging="360"/>
      </w:pPr>
    </w:lvl>
    <w:lvl w:ilvl="2" w:tplc="A2E00632">
      <w:start w:val="1"/>
      <w:numFmt w:val="bullet"/>
      <w:lvlText w:val="■"/>
      <w:lvlJc w:val="left"/>
      <w:pPr>
        <w:ind w:left="2160" w:hanging="360"/>
      </w:pPr>
    </w:lvl>
    <w:lvl w:ilvl="3" w:tplc="24E4A19C">
      <w:start w:val="1"/>
      <w:numFmt w:val="bullet"/>
      <w:lvlText w:val="●"/>
      <w:lvlJc w:val="left"/>
      <w:pPr>
        <w:ind w:left="2880" w:hanging="360"/>
      </w:pPr>
    </w:lvl>
    <w:lvl w:ilvl="4" w:tplc="5C3E2E3C">
      <w:start w:val="1"/>
      <w:numFmt w:val="bullet"/>
      <w:lvlText w:val="○"/>
      <w:lvlJc w:val="left"/>
      <w:pPr>
        <w:ind w:left="3600" w:hanging="360"/>
      </w:pPr>
    </w:lvl>
    <w:lvl w:ilvl="5" w:tplc="279ABD3E">
      <w:start w:val="1"/>
      <w:numFmt w:val="bullet"/>
      <w:lvlText w:val="■"/>
      <w:lvlJc w:val="left"/>
      <w:pPr>
        <w:ind w:left="4320" w:hanging="360"/>
      </w:pPr>
    </w:lvl>
    <w:lvl w:ilvl="6" w:tplc="69205790">
      <w:start w:val="1"/>
      <w:numFmt w:val="bullet"/>
      <w:lvlText w:val="●"/>
      <w:lvlJc w:val="left"/>
      <w:pPr>
        <w:ind w:left="5040" w:hanging="360"/>
      </w:pPr>
    </w:lvl>
    <w:lvl w:ilvl="7" w:tplc="BBA8CCF4">
      <w:start w:val="1"/>
      <w:numFmt w:val="bullet"/>
      <w:lvlText w:val="●"/>
      <w:lvlJc w:val="left"/>
      <w:pPr>
        <w:ind w:left="5760" w:hanging="360"/>
      </w:pPr>
    </w:lvl>
    <w:lvl w:ilvl="8" w:tplc="230020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F651F15"/>
    <w:multiLevelType w:val="hybridMultilevel"/>
    <w:tmpl w:val="48D6897C"/>
    <w:lvl w:ilvl="0" w:tplc="E416DCF2">
      <w:start w:val="1"/>
      <w:numFmt w:val="decimal"/>
      <w:lvlText w:val="%1."/>
      <w:lvlJc w:val="left"/>
      <w:pPr>
        <w:ind w:left="540" w:hanging="360"/>
      </w:pPr>
    </w:lvl>
    <w:lvl w:ilvl="1" w:tplc="F4BEC5FC">
      <w:numFmt w:val="decimal"/>
      <w:lvlText w:val=""/>
      <w:lvlJc w:val="left"/>
    </w:lvl>
    <w:lvl w:ilvl="2" w:tplc="C99E3DEA">
      <w:numFmt w:val="decimal"/>
      <w:lvlText w:val=""/>
      <w:lvlJc w:val="left"/>
    </w:lvl>
    <w:lvl w:ilvl="3" w:tplc="C9CC134A">
      <w:numFmt w:val="decimal"/>
      <w:lvlText w:val=""/>
      <w:lvlJc w:val="left"/>
    </w:lvl>
    <w:lvl w:ilvl="4" w:tplc="4F9CA4F0">
      <w:numFmt w:val="decimal"/>
      <w:lvlText w:val=""/>
      <w:lvlJc w:val="left"/>
    </w:lvl>
    <w:lvl w:ilvl="5" w:tplc="099AB33C">
      <w:numFmt w:val="decimal"/>
      <w:lvlText w:val=""/>
      <w:lvlJc w:val="left"/>
    </w:lvl>
    <w:lvl w:ilvl="6" w:tplc="99B8D46C">
      <w:numFmt w:val="decimal"/>
      <w:lvlText w:val=""/>
      <w:lvlJc w:val="left"/>
    </w:lvl>
    <w:lvl w:ilvl="7" w:tplc="DFA8F49A">
      <w:numFmt w:val="decimal"/>
      <w:lvlText w:val=""/>
      <w:lvlJc w:val="left"/>
    </w:lvl>
    <w:lvl w:ilvl="8" w:tplc="379A9818">
      <w:numFmt w:val="decimal"/>
      <w:lvlText w:val=""/>
      <w:lvlJc w:val="left"/>
    </w:lvl>
  </w:abstractNum>
  <w:abstractNum w:abstractNumId="2" w15:restartNumberingAfterBreak="0">
    <w:nsid w:val="30294FC9"/>
    <w:multiLevelType w:val="hybridMultilevel"/>
    <w:tmpl w:val="5060EB5A"/>
    <w:lvl w:ilvl="0" w:tplc="60EE0F50">
      <w:start w:val="1"/>
      <w:numFmt w:val="decimal"/>
      <w:lvlText w:val="%1."/>
      <w:lvlJc w:val="left"/>
      <w:pPr>
        <w:ind w:left="540" w:hanging="360"/>
      </w:pPr>
    </w:lvl>
    <w:lvl w:ilvl="1" w:tplc="AE94048E">
      <w:numFmt w:val="decimal"/>
      <w:lvlText w:val=""/>
      <w:lvlJc w:val="left"/>
    </w:lvl>
    <w:lvl w:ilvl="2" w:tplc="39DE59B8">
      <w:numFmt w:val="decimal"/>
      <w:lvlText w:val=""/>
      <w:lvlJc w:val="left"/>
    </w:lvl>
    <w:lvl w:ilvl="3" w:tplc="49E68C30">
      <w:numFmt w:val="decimal"/>
      <w:lvlText w:val=""/>
      <w:lvlJc w:val="left"/>
    </w:lvl>
    <w:lvl w:ilvl="4" w:tplc="88828EB2">
      <w:numFmt w:val="decimal"/>
      <w:lvlText w:val=""/>
      <w:lvlJc w:val="left"/>
    </w:lvl>
    <w:lvl w:ilvl="5" w:tplc="E3143036">
      <w:numFmt w:val="decimal"/>
      <w:lvlText w:val=""/>
      <w:lvlJc w:val="left"/>
    </w:lvl>
    <w:lvl w:ilvl="6" w:tplc="E81C2DE0">
      <w:numFmt w:val="decimal"/>
      <w:lvlText w:val=""/>
      <w:lvlJc w:val="left"/>
    </w:lvl>
    <w:lvl w:ilvl="7" w:tplc="49A80D5E">
      <w:numFmt w:val="decimal"/>
      <w:lvlText w:val=""/>
      <w:lvlJc w:val="left"/>
    </w:lvl>
    <w:lvl w:ilvl="8" w:tplc="2FBEF6EC">
      <w:numFmt w:val="decimal"/>
      <w:lvlText w:val=""/>
      <w:lvlJc w:val="left"/>
    </w:lvl>
  </w:abstractNum>
  <w:abstractNum w:abstractNumId="3" w15:restartNumberingAfterBreak="0">
    <w:nsid w:val="4C9C32AE"/>
    <w:multiLevelType w:val="hybridMultilevel"/>
    <w:tmpl w:val="D4BA92DC"/>
    <w:lvl w:ilvl="0" w:tplc="67EC26CE">
      <w:start w:val="1"/>
      <w:numFmt w:val="decimal"/>
      <w:lvlText w:val="%1."/>
      <w:lvlJc w:val="left"/>
      <w:pPr>
        <w:ind w:left="540" w:hanging="360"/>
      </w:pPr>
    </w:lvl>
    <w:lvl w:ilvl="1" w:tplc="0096BA7A">
      <w:numFmt w:val="decimal"/>
      <w:lvlText w:val=""/>
      <w:lvlJc w:val="left"/>
    </w:lvl>
    <w:lvl w:ilvl="2" w:tplc="490E2706">
      <w:numFmt w:val="decimal"/>
      <w:lvlText w:val=""/>
      <w:lvlJc w:val="left"/>
    </w:lvl>
    <w:lvl w:ilvl="3" w:tplc="5F7CAB5A">
      <w:numFmt w:val="decimal"/>
      <w:lvlText w:val=""/>
      <w:lvlJc w:val="left"/>
    </w:lvl>
    <w:lvl w:ilvl="4" w:tplc="3BDE2192">
      <w:numFmt w:val="decimal"/>
      <w:lvlText w:val=""/>
      <w:lvlJc w:val="left"/>
    </w:lvl>
    <w:lvl w:ilvl="5" w:tplc="28C2E6A0">
      <w:numFmt w:val="decimal"/>
      <w:lvlText w:val=""/>
      <w:lvlJc w:val="left"/>
    </w:lvl>
    <w:lvl w:ilvl="6" w:tplc="41CE001E">
      <w:numFmt w:val="decimal"/>
      <w:lvlText w:val=""/>
      <w:lvlJc w:val="left"/>
    </w:lvl>
    <w:lvl w:ilvl="7" w:tplc="F95E4A8C">
      <w:numFmt w:val="decimal"/>
      <w:lvlText w:val=""/>
      <w:lvlJc w:val="left"/>
    </w:lvl>
    <w:lvl w:ilvl="8" w:tplc="49C2E3FA">
      <w:numFmt w:val="decimal"/>
      <w:lvlText w:val=""/>
      <w:lvlJc w:val="left"/>
    </w:lvl>
  </w:abstractNum>
  <w:abstractNum w:abstractNumId="4" w15:restartNumberingAfterBreak="0">
    <w:nsid w:val="5B685EE4"/>
    <w:multiLevelType w:val="hybridMultilevel"/>
    <w:tmpl w:val="5CC672FE"/>
    <w:lvl w:ilvl="0" w:tplc="F25A0BA2">
      <w:start w:val="1"/>
      <w:numFmt w:val="decimal"/>
      <w:lvlText w:val="%1."/>
      <w:lvlJc w:val="left"/>
      <w:pPr>
        <w:ind w:left="540" w:hanging="360"/>
      </w:pPr>
    </w:lvl>
    <w:lvl w:ilvl="1" w:tplc="B2BA2DCA">
      <w:numFmt w:val="decimal"/>
      <w:lvlText w:val=""/>
      <w:lvlJc w:val="left"/>
    </w:lvl>
    <w:lvl w:ilvl="2" w:tplc="F5A8F118">
      <w:numFmt w:val="decimal"/>
      <w:lvlText w:val=""/>
      <w:lvlJc w:val="left"/>
    </w:lvl>
    <w:lvl w:ilvl="3" w:tplc="EAF0BFEC">
      <w:numFmt w:val="decimal"/>
      <w:lvlText w:val=""/>
      <w:lvlJc w:val="left"/>
    </w:lvl>
    <w:lvl w:ilvl="4" w:tplc="5E80D1EE">
      <w:numFmt w:val="decimal"/>
      <w:lvlText w:val=""/>
      <w:lvlJc w:val="left"/>
    </w:lvl>
    <w:lvl w:ilvl="5" w:tplc="2F7CED50">
      <w:numFmt w:val="decimal"/>
      <w:lvlText w:val=""/>
      <w:lvlJc w:val="left"/>
    </w:lvl>
    <w:lvl w:ilvl="6" w:tplc="DDA463DE">
      <w:numFmt w:val="decimal"/>
      <w:lvlText w:val=""/>
      <w:lvlJc w:val="left"/>
    </w:lvl>
    <w:lvl w:ilvl="7" w:tplc="C09C93D2">
      <w:numFmt w:val="decimal"/>
      <w:lvlText w:val=""/>
      <w:lvlJc w:val="left"/>
    </w:lvl>
    <w:lvl w:ilvl="8" w:tplc="65640A9E">
      <w:numFmt w:val="decimal"/>
      <w:lvlText w:val=""/>
      <w:lvlJc w:val="left"/>
    </w:lvl>
  </w:abstractNum>
  <w:abstractNum w:abstractNumId="5" w15:restartNumberingAfterBreak="0">
    <w:nsid w:val="673932AF"/>
    <w:multiLevelType w:val="hybridMultilevel"/>
    <w:tmpl w:val="4C6069CC"/>
    <w:lvl w:ilvl="0" w:tplc="2A20769A">
      <w:start w:val="1"/>
      <w:numFmt w:val="decimal"/>
      <w:lvlText w:val="%1."/>
      <w:lvlJc w:val="left"/>
      <w:pPr>
        <w:ind w:left="540" w:hanging="360"/>
      </w:pPr>
    </w:lvl>
    <w:lvl w:ilvl="1" w:tplc="6BC61042">
      <w:numFmt w:val="decimal"/>
      <w:lvlText w:val=""/>
      <w:lvlJc w:val="left"/>
    </w:lvl>
    <w:lvl w:ilvl="2" w:tplc="31342006">
      <w:numFmt w:val="decimal"/>
      <w:lvlText w:val=""/>
      <w:lvlJc w:val="left"/>
    </w:lvl>
    <w:lvl w:ilvl="3" w:tplc="FA1EF216">
      <w:numFmt w:val="decimal"/>
      <w:lvlText w:val=""/>
      <w:lvlJc w:val="left"/>
    </w:lvl>
    <w:lvl w:ilvl="4" w:tplc="C8389E50">
      <w:numFmt w:val="decimal"/>
      <w:lvlText w:val=""/>
      <w:lvlJc w:val="left"/>
    </w:lvl>
    <w:lvl w:ilvl="5" w:tplc="14A8C26E">
      <w:numFmt w:val="decimal"/>
      <w:lvlText w:val=""/>
      <w:lvlJc w:val="left"/>
    </w:lvl>
    <w:lvl w:ilvl="6" w:tplc="91002D18">
      <w:numFmt w:val="decimal"/>
      <w:lvlText w:val=""/>
      <w:lvlJc w:val="left"/>
    </w:lvl>
    <w:lvl w:ilvl="7" w:tplc="71C2A5F6">
      <w:numFmt w:val="decimal"/>
      <w:lvlText w:val=""/>
      <w:lvlJc w:val="left"/>
    </w:lvl>
    <w:lvl w:ilvl="8" w:tplc="7FF8C202">
      <w:numFmt w:val="decimal"/>
      <w:lvlText w:val=""/>
      <w:lvlJc w:val="left"/>
    </w:lvl>
  </w:abstractNum>
  <w:num w:numId="1" w16cid:durableId="1118181070">
    <w:abstractNumId w:val="0"/>
    <w:lvlOverride w:ilvl="0">
      <w:startOverride w:val="1"/>
    </w:lvlOverride>
  </w:num>
  <w:num w:numId="2" w16cid:durableId="2049407269">
    <w:abstractNumId w:val="1"/>
    <w:lvlOverride w:ilvl="0">
      <w:startOverride w:val="1"/>
    </w:lvlOverride>
  </w:num>
  <w:num w:numId="3" w16cid:durableId="274294807">
    <w:abstractNumId w:val="2"/>
    <w:lvlOverride w:ilvl="0">
      <w:startOverride w:val="1"/>
    </w:lvlOverride>
  </w:num>
  <w:num w:numId="4" w16cid:durableId="481043999">
    <w:abstractNumId w:val="4"/>
    <w:lvlOverride w:ilvl="0">
      <w:startOverride w:val="1"/>
    </w:lvlOverride>
  </w:num>
  <w:num w:numId="5" w16cid:durableId="194800389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7BD"/>
    <w:rsid w:val="000F23A7"/>
    <w:rsid w:val="001427BD"/>
    <w:rsid w:val="002A7DE8"/>
    <w:rsid w:val="003B76C8"/>
    <w:rsid w:val="00BD3DD3"/>
    <w:rsid w:val="00D9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557D8"/>
  <w15:docId w15:val="{685F3F49-E8E6-49CA-BDB6-33928BF83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spacing w:before="300" w:after="150"/>
      <w:outlineLvl w:val="0"/>
    </w:pPr>
    <w:rPr>
      <w:b/>
      <w:bCs/>
      <w:color w:val="1F4E79"/>
      <w:sz w:val="30"/>
      <w:szCs w:val="30"/>
    </w:rPr>
  </w:style>
  <w:style w:type="paragraph" w:styleId="Heading2">
    <w:name w:val="heading 2"/>
    <w:link w:val="Heading2Char"/>
    <w:uiPriority w:val="9"/>
    <w:unhideWhenUsed/>
    <w:qFormat/>
    <w:pPr>
      <w:spacing w:before="200" w:after="100"/>
      <w:outlineLvl w:val="1"/>
    </w:pPr>
    <w:rPr>
      <w:b/>
      <w:bCs/>
      <w:color w:val="2E75B6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B76C8"/>
    <w:rPr>
      <w:b/>
      <w:bCs/>
      <w:color w:val="1F4E79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rsid w:val="003B76C8"/>
    <w:rPr>
      <w:b/>
      <w:bCs/>
      <w:color w:val="2E75B6"/>
      <w:sz w:val="24"/>
      <w:szCs w:val="24"/>
    </w:rPr>
  </w:style>
  <w:style w:type="table" w:styleId="TableGrid">
    <w:name w:val="Table Grid"/>
    <w:basedOn w:val="TableNormal"/>
    <w:uiPriority w:val="39"/>
    <w:rsid w:val="003B7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3B76C8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B76C8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B76C8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6">
    <w:name w:val="Grid Table 4 Accent 6"/>
    <w:basedOn w:val="TableNormal"/>
    <w:uiPriority w:val="49"/>
    <w:rsid w:val="003B76C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2">
    <w:name w:val="Grid Table 4 Accent 2"/>
    <w:basedOn w:val="TableNormal"/>
    <w:uiPriority w:val="49"/>
    <w:rsid w:val="003B76C8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4">
    <w:name w:val="Grid Table 5 Dark Accent 4"/>
    <w:basedOn w:val="TableNormal"/>
    <w:uiPriority w:val="50"/>
    <w:rsid w:val="003B76C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3-Accent4">
    <w:name w:val="Grid Table 3 Accent 4"/>
    <w:basedOn w:val="TableNormal"/>
    <w:uiPriority w:val="48"/>
    <w:rsid w:val="003B76C8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1Light">
    <w:name w:val="Grid Table 1 Light"/>
    <w:basedOn w:val="TableNormal"/>
    <w:uiPriority w:val="46"/>
    <w:rsid w:val="002A7DE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1">
    <w:name w:val="Grid Table 6 Colorful Accent 1"/>
    <w:basedOn w:val="TableNormal"/>
    <w:uiPriority w:val="51"/>
    <w:rsid w:val="002A7DE8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2A7DE8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7DE8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2">
    <w:name w:val="List Table 4 Accent 2"/>
    <w:basedOn w:val="TableNormal"/>
    <w:uiPriority w:val="49"/>
    <w:rsid w:val="002A7DE8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5Dark-Accent3">
    <w:name w:val="List Table 5 Dark Accent 3"/>
    <w:basedOn w:val="TableNormal"/>
    <w:uiPriority w:val="50"/>
    <w:rsid w:val="002A7DE8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6">
    <w:name w:val="List Table 6 Colorful Accent 6"/>
    <w:basedOn w:val="TableNormal"/>
    <w:uiPriority w:val="51"/>
    <w:rsid w:val="002A7DE8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4-Accent6">
    <w:name w:val="List Table 4 Accent 6"/>
    <w:basedOn w:val="TableNormal"/>
    <w:uiPriority w:val="49"/>
    <w:rsid w:val="002A7DE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-Accent3">
    <w:name w:val="List Table 3 Accent 3"/>
    <w:basedOn w:val="TableNormal"/>
    <w:uiPriority w:val="48"/>
    <w:rsid w:val="002A7DE8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4-Accent5">
    <w:name w:val="List Table 4 Accent 5"/>
    <w:basedOn w:val="TableNormal"/>
    <w:uiPriority w:val="49"/>
    <w:rsid w:val="002A7DE8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3-Accent2">
    <w:name w:val="List Table 3 Accent 2"/>
    <w:basedOn w:val="TableNormal"/>
    <w:uiPriority w:val="48"/>
    <w:rsid w:val="002A7DE8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4304</Words>
  <Characters>24535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ICAR Bangalore</cp:lastModifiedBy>
  <cp:revision>3</cp:revision>
  <dcterms:created xsi:type="dcterms:W3CDTF">2026-07-27T05:09:00Z</dcterms:created>
  <dcterms:modified xsi:type="dcterms:W3CDTF">2026-07-27T05:10:00Z</dcterms:modified>
</cp:coreProperties>
</file>